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word/document.xml" ContentType="application/vnd.openxmlformats-officedocument.wordprocessingml.document.main+xml"/>
  <Override PartName="/word/styles.xml" ContentType="application/vnd.openxmlformats-officedocument.wordprocessingml.styles+xml"/>
  <Override PartName="/word/header1.xml" ContentType="application/vnd.openxmlformats-officedocument.wordprocessingml.header+xml"/>
  <Override PartName="/word/_rels/footer1.xml.rels" ContentType="application/vnd.openxmlformats-package.relationships+xml"/>
  <Override PartName="/word/_rels/header1.xml.rels" ContentType="application/vnd.openxmlformats-package.relationships+xml"/>
  <Override PartName="/word/_rels/document.xml.rels" ContentType="application/vnd.openxmlformats-package.relationships+xml"/>
  <Override PartName="/word/media/image1.jpeg" ContentType="image/jpeg"/>
  <Override PartName="/word/media/image2.jpeg" ContentType="image/jpeg"/>
  <Override PartName="/word/footer1.xml" ContentType="application/vnd.openxmlformats-officedocument.wordprocessingml.footer+xml"/>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officedocument/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spacing w:lineRule="auto" w:line="240" w:before="0" w:after="120"/>
        <w:rPr>
          <w:rFonts w:ascii="Roboto" w:hAnsi="Roboto" w:cs="Arial"/>
          <w:bCs/>
          <w:sz w:val="20"/>
          <w:szCs w:val="20"/>
          <w:lang w:val="en-GB"/>
        </w:rPr>
      </w:pPr>
      <w:r>
        <w:rPr>
          <w:rFonts w:cs="Arial" w:ascii="Roboto" w:hAnsi="Roboto"/>
          <w:bCs/>
          <w:sz w:val="20"/>
          <w:szCs w:val="20"/>
          <w:lang w:val="en-GB"/>
        </w:rPr>
      </w:r>
    </w:p>
    <w:p>
      <w:pPr>
        <w:pStyle w:val="Normal"/>
        <w:spacing w:lineRule="auto" w:line="240" w:before="0" w:after="120"/>
        <w:jc w:val="center"/>
        <w:rPr>
          <w:rFonts w:ascii="Roboto" w:hAnsi="Roboto" w:cs="Arial"/>
          <w:b/>
          <w:color w:val="0A9687"/>
          <w:sz w:val="36"/>
          <w:szCs w:val="36"/>
          <w:lang w:val="en-GB"/>
        </w:rPr>
      </w:pPr>
      <w:r>
        <w:rPr>
          <w:rFonts w:cs="Arial" w:ascii="Roboto" w:hAnsi="Roboto"/>
          <w:b/>
          <w:color w:val="0A9687"/>
          <w:sz w:val="36"/>
          <w:szCs w:val="36"/>
          <w:lang w:val="en-GB"/>
        </w:rPr>
        <w:t>PICAM eTWINNING FRAMEWORK</w:t>
      </w:r>
    </w:p>
    <w:p>
      <w:pPr>
        <w:pStyle w:val="Normal"/>
        <w:spacing w:lineRule="auto" w:line="240" w:before="240" w:after="120"/>
        <w:rPr>
          <w:rFonts w:ascii="Roboto" w:hAnsi="Roboto" w:cs="Arial"/>
          <w:b/>
          <w:color w:val="E36C0A"/>
          <w:lang w:val="en-GB"/>
        </w:rPr>
      </w:pPr>
      <w:r>
        <w:rPr>
          <w:rFonts w:cs="Arial" w:ascii="Roboto" w:hAnsi="Roboto"/>
          <w:b/>
          <w:color w:val="E36C0A"/>
          <w:lang w:val="en-GB"/>
        </w:rPr>
        <w:t>About eTwinning</w:t>
      </w:r>
      <w:r>
        <mc:AlternateContent>
          <mc:Choice Requires="wps">
            <w:drawing>
              <wp:anchor behindDoc="1" distT="0" distB="0" distL="114935" distR="0" simplePos="0" locked="0" layoutInCell="0" allowOverlap="1" relativeHeight="14">
                <wp:simplePos x="0" y="0"/>
                <wp:positionH relativeFrom="margin">
                  <wp:align>right</wp:align>
                </wp:positionH>
                <wp:positionV relativeFrom="paragraph">
                  <wp:posOffset>82550</wp:posOffset>
                </wp:positionV>
                <wp:extent cx="2956560" cy="5265420"/>
                <wp:effectExtent l="0" t="0" r="0" b="0"/>
                <wp:wrapSquare wrapText="bothSides"/>
                <wp:docPr id="1" name="Frame1"/>
                <a:graphic xmlns:a="http://schemas.openxmlformats.org/drawingml/2006/main">
                  <a:graphicData uri="http://schemas.microsoft.com/office/word/2010/wordprocessingShape">
                    <wps:wsp>
                      <wps:cNvSpPr txBox="1"/>
                      <wps:spPr>
                        <a:xfrm>
                          <a:off x="0" y="0"/>
                          <a:ext cx="2956560" cy="5265420"/>
                        </a:xfrm>
                        <a:prstGeom prst="rect"/>
                        <a:solidFill>
                          <a:srgbClr val="DCE6F2"/>
                        </a:solidFill>
                      </wps:spPr>
                      <wps:txbx>
                        <w:txbxContent>
                          <w:p>
                            <w:pPr>
                              <w:pStyle w:val="Normal"/>
                              <w:spacing w:lineRule="auto" w:line="240" w:before="240" w:after="120"/>
                              <w:rPr>
                                <w:rFonts w:ascii="Arial" w:hAnsi="Arial" w:cs="Arial"/>
                                <w:b/>
                                <w:color w:val="E36C0A"/>
                                <w:sz w:val="20"/>
                                <w:szCs w:val="20"/>
                                <w:lang w:val="en-GB"/>
                              </w:rPr>
                            </w:pPr>
                            <w:r>
                              <w:rPr>
                                <w:rFonts w:cs="Arial" w:ascii="Arial" w:hAnsi="Arial"/>
                                <w:b/>
                                <w:color w:val="E36C0A"/>
                                <w:sz w:val="20"/>
                                <w:szCs w:val="20"/>
                                <w:lang w:val="en-GB"/>
                              </w:rPr>
                              <w:t>eTwinning platform:</w:t>
                            </w:r>
                          </w:p>
                          <w:p>
                            <w:pPr>
                              <w:pStyle w:val="Normal"/>
                              <w:spacing w:lineRule="auto" w:line="240" w:before="0" w:after="120"/>
                              <w:rPr>
                                <w:rFonts w:ascii="Arial" w:hAnsi="Arial" w:cs="Arial"/>
                                <w:sz w:val="20"/>
                                <w:szCs w:val="20"/>
                                <w:lang w:val="en-GB"/>
                              </w:rPr>
                            </w:pPr>
                            <w:r>
                              <w:rPr>
                                <w:rFonts w:cs="Arial" w:ascii="Arial" w:hAnsi="Arial"/>
                                <w:sz w:val="20"/>
                                <w:szCs w:val="20"/>
                                <w:lang w:val="en-GB"/>
                              </w:rPr>
                              <w:t>www.etwinning.net</w:t>
                            </w:r>
                          </w:p>
                          <w:p>
                            <w:pPr>
                              <w:pStyle w:val="Normal"/>
                              <w:spacing w:lineRule="auto" w:line="240" w:before="360" w:after="120"/>
                              <w:rPr>
                                <w:rFonts w:ascii="Arial" w:hAnsi="Arial" w:cs="Arial"/>
                                <w:b/>
                                <w:color w:val="E36C0A"/>
                                <w:sz w:val="20"/>
                                <w:szCs w:val="20"/>
                                <w:lang w:val="en-GB"/>
                              </w:rPr>
                            </w:pPr>
                            <w:r>
                              <w:rPr>
                                <w:rFonts w:cs="Arial" w:ascii="Arial" w:hAnsi="Arial"/>
                                <w:b/>
                                <w:color w:val="E36C0A"/>
                                <w:sz w:val="20"/>
                                <w:szCs w:val="20"/>
                                <w:lang w:val="en-GB"/>
                              </w:rPr>
                              <w:t>Collaborative projects developed:</w:t>
                            </w:r>
                          </w:p>
                          <w:p>
                            <w:pPr>
                              <w:pStyle w:val="Normal"/>
                              <w:spacing w:lineRule="auto" w:line="240" w:before="0" w:after="120"/>
                              <w:rPr>
                                <w:rFonts w:ascii="Arial" w:hAnsi="Arial" w:cs="Arial"/>
                                <w:sz w:val="20"/>
                                <w:szCs w:val="20"/>
                                <w:lang w:val="en-GB"/>
                              </w:rPr>
                            </w:pPr>
                            <w:r>
                              <w:rPr>
                                <w:rFonts w:cs="Arial" w:ascii="Arial" w:hAnsi="Arial"/>
                                <w:sz w:val="20"/>
                                <w:szCs w:val="20"/>
                                <w:lang w:val="en-GB"/>
                              </w:rPr>
                              <w:t>90.000+, using different languages</w:t>
                            </w:r>
                          </w:p>
                          <w:p>
                            <w:pPr>
                              <w:pStyle w:val="Normal"/>
                              <w:spacing w:lineRule="auto" w:line="240" w:before="360" w:after="120"/>
                              <w:rPr>
                                <w:rFonts w:ascii="Arial" w:hAnsi="Arial" w:cs="Arial"/>
                                <w:b/>
                                <w:color w:val="E36C0A"/>
                                <w:sz w:val="20"/>
                                <w:szCs w:val="20"/>
                                <w:lang w:val="en-GB"/>
                              </w:rPr>
                            </w:pPr>
                            <w:r>
                              <w:rPr>
                                <w:rFonts w:cs="Arial" w:ascii="Arial" w:hAnsi="Arial"/>
                                <w:b/>
                                <w:color w:val="E36C0A"/>
                                <w:sz w:val="20"/>
                                <w:szCs w:val="20"/>
                                <w:lang w:val="en-GB"/>
                              </w:rPr>
                              <w:t>Teachers in eTwinning (PiCaM countries):</w:t>
                            </w:r>
                          </w:p>
                          <w:p>
                            <w:pPr>
                              <w:pStyle w:val="Normal"/>
                              <w:spacing w:lineRule="auto" w:line="240" w:before="0" w:after="120"/>
                              <w:rPr>
                                <w:rFonts w:ascii="Arial" w:hAnsi="Arial" w:cs="Arial"/>
                                <w:sz w:val="20"/>
                                <w:szCs w:val="20"/>
                                <w:lang w:val="en-GB"/>
                              </w:rPr>
                            </w:pPr>
                            <w:r>
                              <w:rPr>
                                <w:rFonts w:cs="Arial" w:ascii="Arial" w:hAnsi="Arial"/>
                                <w:sz w:val="20"/>
                                <w:szCs w:val="20"/>
                                <w:lang w:val="en-GB"/>
                              </w:rPr>
                              <w:t>UK: 28.000+ teachers from 14.500 schools</w:t>
                            </w:r>
                          </w:p>
                          <w:p>
                            <w:pPr>
                              <w:pStyle w:val="Normal"/>
                              <w:spacing w:lineRule="auto" w:line="240" w:before="0" w:after="120"/>
                              <w:rPr>
                                <w:rFonts w:ascii="Arial" w:hAnsi="Arial" w:cs="Arial"/>
                                <w:sz w:val="20"/>
                                <w:szCs w:val="20"/>
                                <w:lang w:val="en-GB"/>
                              </w:rPr>
                            </w:pPr>
                            <w:r>
                              <w:rPr>
                                <w:rFonts w:cs="Arial" w:ascii="Arial" w:hAnsi="Arial"/>
                                <w:sz w:val="20"/>
                                <w:szCs w:val="20"/>
                                <w:lang w:val="en-GB"/>
                              </w:rPr>
                              <w:t>Greece: 26.000+ teachers from 8.000 schools</w:t>
                            </w:r>
                          </w:p>
                          <w:p>
                            <w:pPr>
                              <w:pStyle w:val="Normal"/>
                              <w:spacing w:lineRule="auto" w:line="240" w:before="0" w:after="120"/>
                              <w:rPr>
                                <w:rFonts w:ascii="Arial" w:hAnsi="Arial" w:cs="Arial"/>
                                <w:sz w:val="20"/>
                                <w:szCs w:val="20"/>
                                <w:lang w:val="en-GB"/>
                              </w:rPr>
                            </w:pPr>
                            <w:r>
                              <w:rPr>
                                <w:rFonts w:cs="Arial" w:ascii="Arial" w:hAnsi="Arial"/>
                                <w:sz w:val="20"/>
                                <w:szCs w:val="20"/>
                                <w:lang w:val="en-GB"/>
                              </w:rPr>
                              <w:t>Portugal: 18.000+ teachers from 1.700 schools</w:t>
                            </w:r>
                          </w:p>
                          <w:p>
                            <w:pPr>
                              <w:pStyle w:val="Normal"/>
                              <w:spacing w:lineRule="auto" w:line="240" w:before="0" w:after="120"/>
                              <w:rPr>
                                <w:rFonts w:ascii="Arial" w:hAnsi="Arial" w:cs="Arial"/>
                                <w:sz w:val="20"/>
                                <w:szCs w:val="20"/>
                                <w:lang w:val="en-GB"/>
                              </w:rPr>
                            </w:pPr>
                            <w:r>
                              <w:rPr>
                                <w:rFonts w:cs="Arial" w:ascii="Arial" w:hAnsi="Arial"/>
                                <w:sz w:val="20"/>
                                <w:szCs w:val="20"/>
                                <w:lang w:val="en-GB"/>
                              </w:rPr>
                              <w:t>Romania: 28.000+ teachers from 9.000 schools</w:t>
                            </w:r>
                          </w:p>
                          <w:p>
                            <w:pPr>
                              <w:pStyle w:val="Normal"/>
                              <w:spacing w:lineRule="auto" w:line="240" w:before="0" w:after="120"/>
                              <w:rPr>
                                <w:rFonts w:ascii="Arial" w:hAnsi="Arial" w:cs="Arial"/>
                                <w:sz w:val="20"/>
                                <w:szCs w:val="20"/>
                                <w:lang w:val="en-GB"/>
                              </w:rPr>
                            </w:pPr>
                            <w:r>
                              <w:rPr>
                                <w:rFonts w:cs="Arial" w:ascii="Arial" w:hAnsi="Arial"/>
                                <w:sz w:val="20"/>
                                <w:szCs w:val="20"/>
                                <w:lang w:val="en-GB"/>
                              </w:rPr>
                              <w:t>Germany: 23.000+ teachers from 8.800 schools</w:t>
                            </w:r>
                          </w:p>
                          <w:p>
                            <w:pPr>
                              <w:pStyle w:val="Normal"/>
                              <w:spacing w:lineRule="auto" w:line="240" w:before="360" w:after="120"/>
                              <w:rPr>
                                <w:rFonts w:ascii="Arial" w:hAnsi="Arial" w:cs="Arial"/>
                                <w:b/>
                                <w:color w:val="E36C0A"/>
                                <w:sz w:val="20"/>
                                <w:szCs w:val="20"/>
                                <w:lang w:val="en-GB"/>
                              </w:rPr>
                            </w:pPr>
                            <w:r>
                              <w:rPr>
                                <w:rFonts w:cs="Arial" w:ascii="Arial" w:hAnsi="Arial"/>
                                <w:b/>
                                <w:color w:val="E36C0A"/>
                                <w:sz w:val="20"/>
                                <w:szCs w:val="20"/>
                                <w:lang w:val="en-GB"/>
                              </w:rPr>
                              <w:t>Subjects:</w:t>
                            </w:r>
                          </w:p>
                          <w:p>
                            <w:pPr>
                              <w:pStyle w:val="Normal"/>
                              <w:spacing w:lineRule="auto" w:line="240" w:before="0" w:after="120"/>
                              <w:rPr>
                                <w:rFonts w:ascii="Arial" w:hAnsi="Arial" w:cs="Arial"/>
                                <w:sz w:val="20"/>
                                <w:szCs w:val="20"/>
                                <w:lang w:val="en-GB"/>
                              </w:rPr>
                            </w:pPr>
                            <w:r>
                              <w:rPr>
                                <w:rFonts w:cs="Arial" w:ascii="Arial" w:hAnsi="Arial"/>
                                <w:sz w:val="20"/>
                                <w:szCs w:val="20"/>
                                <w:lang w:val="en-GB"/>
                              </w:rPr>
                              <w:t>All subjects</w:t>
                            </w:r>
                          </w:p>
                          <w:p>
                            <w:pPr>
                              <w:pStyle w:val="Normal"/>
                              <w:spacing w:lineRule="auto" w:line="240" w:before="0" w:after="120"/>
                              <w:rPr>
                                <w:rFonts w:ascii="Arial" w:hAnsi="Arial" w:cs="Arial"/>
                                <w:sz w:val="20"/>
                                <w:szCs w:val="20"/>
                                <w:lang w:val="en-GB"/>
                              </w:rPr>
                            </w:pPr>
                            <w:r>
                              <w:rPr>
                                <w:rFonts w:cs="Arial" w:ascii="Arial" w:hAnsi="Arial"/>
                                <w:sz w:val="20"/>
                                <w:szCs w:val="20"/>
                                <w:lang w:val="en-GB"/>
                              </w:rPr>
                              <w:t>Cross-curricular topics</w:t>
                            </w:r>
                          </w:p>
                          <w:p>
                            <w:pPr>
                              <w:pStyle w:val="Normal"/>
                              <w:spacing w:lineRule="auto" w:line="240" w:before="0" w:after="120"/>
                              <w:rPr>
                                <w:rFonts w:ascii="Arial" w:hAnsi="Arial" w:cs="Arial"/>
                                <w:sz w:val="20"/>
                                <w:szCs w:val="20"/>
                                <w:lang w:val="en-GB"/>
                              </w:rPr>
                            </w:pPr>
                            <w:r>
                              <w:rPr>
                                <w:rFonts w:cs="Arial" w:ascii="Arial" w:hAnsi="Arial"/>
                                <w:sz w:val="20"/>
                                <w:szCs w:val="20"/>
                                <w:lang w:val="en-GB"/>
                              </w:rPr>
                              <w:t>Extra-curricular themes</w:t>
                            </w:r>
                          </w:p>
                          <w:p>
                            <w:pPr>
                              <w:pStyle w:val="Normal"/>
                              <w:spacing w:lineRule="auto" w:line="240" w:before="360" w:after="120"/>
                              <w:rPr>
                                <w:rFonts w:ascii="Arial" w:hAnsi="Arial" w:cs="Arial"/>
                                <w:b/>
                                <w:color w:val="E36C0A"/>
                                <w:sz w:val="20"/>
                                <w:szCs w:val="20"/>
                                <w:lang w:val="en-GB"/>
                              </w:rPr>
                            </w:pPr>
                            <w:r>
                              <w:rPr>
                                <w:rFonts w:cs="Arial" w:ascii="Arial" w:hAnsi="Arial"/>
                                <w:b/>
                                <w:color w:val="E36C0A"/>
                                <w:sz w:val="20"/>
                                <w:szCs w:val="20"/>
                                <w:lang w:val="en-GB"/>
                              </w:rPr>
                              <w:t>Levels:</w:t>
                            </w:r>
                          </w:p>
                          <w:p>
                            <w:pPr>
                              <w:pStyle w:val="Normal"/>
                              <w:spacing w:lineRule="auto" w:line="240" w:before="0" w:after="120"/>
                              <w:rPr>
                                <w:rFonts w:ascii="Arial" w:hAnsi="Arial" w:cs="Arial"/>
                                <w:sz w:val="20"/>
                                <w:szCs w:val="20"/>
                                <w:lang w:val="en-GB"/>
                              </w:rPr>
                            </w:pPr>
                            <w:r>
                              <w:rPr>
                                <w:rFonts w:cs="Arial" w:ascii="Arial" w:hAnsi="Arial"/>
                                <w:sz w:val="20"/>
                                <w:szCs w:val="20"/>
                                <w:lang w:val="en-GB"/>
                              </w:rPr>
                              <w:t>Kindergarten</w:t>
                            </w:r>
                          </w:p>
                          <w:p>
                            <w:pPr>
                              <w:pStyle w:val="Normal"/>
                              <w:spacing w:lineRule="auto" w:line="240" w:before="0" w:after="120"/>
                              <w:rPr>
                                <w:rFonts w:ascii="Arial" w:hAnsi="Arial" w:cs="Arial"/>
                                <w:sz w:val="20"/>
                                <w:szCs w:val="20"/>
                                <w:lang w:val="en-GB"/>
                              </w:rPr>
                            </w:pPr>
                            <w:r>
                              <w:rPr>
                                <w:rFonts w:cs="Arial" w:ascii="Arial" w:hAnsi="Arial"/>
                                <w:sz w:val="20"/>
                                <w:szCs w:val="20"/>
                                <w:lang w:val="en-GB"/>
                              </w:rPr>
                              <w:t>Primary</w:t>
                            </w:r>
                          </w:p>
                          <w:p>
                            <w:pPr>
                              <w:pStyle w:val="Normal"/>
                              <w:spacing w:lineRule="auto" w:line="240" w:before="0" w:after="120"/>
                              <w:rPr>
                                <w:rFonts w:ascii="Arial" w:hAnsi="Arial" w:cs="Arial"/>
                                <w:sz w:val="20"/>
                                <w:szCs w:val="20"/>
                                <w:lang w:val="en-GB"/>
                              </w:rPr>
                            </w:pPr>
                            <w:r>
                              <w:rPr>
                                <w:rFonts w:cs="Arial" w:ascii="Arial" w:hAnsi="Arial"/>
                                <w:sz w:val="20"/>
                                <w:szCs w:val="20"/>
                                <w:lang w:val="en-GB"/>
                              </w:rPr>
                              <w:t>Lower secondary</w:t>
                            </w:r>
                          </w:p>
                          <w:p>
                            <w:pPr>
                              <w:pStyle w:val="Normal"/>
                              <w:spacing w:lineRule="auto" w:line="240" w:before="0" w:after="120"/>
                              <w:rPr>
                                <w:rFonts w:ascii="Arial" w:hAnsi="Arial" w:cs="Arial"/>
                                <w:sz w:val="20"/>
                                <w:szCs w:val="20"/>
                                <w:lang w:val="en-GB"/>
                              </w:rPr>
                            </w:pPr>
                            <w:r>
                              <w:rPr>
                                <w:rFonts w:cs="Arial" w:ascii="Arial" w:hAnsi="Arial"/>
                                <w:sz w:val="20"/>
                                <w:szCs w:val="20"/>
                                <w:lang w:val="en-GB"/>
                              </w:rPr>
                              <w:t>Upper secondary</w:t>
                            </w:r>
                          </w:p>
                        </w:txbxContent>
                      </wps:txbx>
                      <wps:bodyPr anchor="t" lIns="92075" tIns="46355" rIns="92075" bIns="46355">
                        <a:noAutofit/>
                      </wps:bodyPr>
                    </wps:wsp>
                  </a:graphicData>
                </a:graphic>
              </wp:anchor>
            </w:drawing>
          </mc:Choice>
          <mc:Fallback>
            <w:pict>
              <v:rect fillcolor="#DCE6F2" style="position:absolute;rotation:-0;width:232.8pt;height:414.6pt;mso-wrap-distance-left:9.05pt;mso-wrap-distance-right:0pt;mso-wrap-distance-top:0pt;mso-wrap-distance-bottom:0pt;margin-top:6.5pt;mso-position-vertical-relative:text;margin-left:277.5pt;mso-position-horizontal:right;mso-position-horizontal-relative:margin">
                <v:textbox inset="0.100694444444444in,0.0506944444444444in,0.100694444444444in,0.0506944444444444in">
                  <w:txbxContent>
                    <w:p>
                      <w:pPr>
                        <w:pStyle w:val="Normal"/>
                        <w:spacing w:lineRule="auto" w:line="240" w:before="240" w:after="120"/>
                        <w:rPr>
                          <w:rFonts w:ascii="Arial" w:hAnsi="Arial" w:cs="Arial"/>
                          <w:b/>
                          <w:color w:val="E36C0A"/>
                          <w:sz w:val="20"/>
                          <w:szCs w:val="20"/>
                          <w:lang w:val="en-GB"/>
                        </w:rPr>
                      </w:pPr>
                      <w:r>
                        <w:rPr>
                          <w:rFonts w:cs="Arial" w:ascii="Arial" w:hAnsi="Arial"/>
                          <w:b/>
                          <w:color w:val="E36C0A"/>
                          <w:sz w:val="20"/>
                          <w:szCs w:val="20"/>
                          <w:lang w:val="en-GB"/>
                        </w:rPr>
                        <w:t>eTwinning platform:</w:t>
                      </w:r>
                    </w:p>
                    <w:p>
                      <w:pPr>
                        <w:pStyle w:val="Normal"/>
                        <w:spacing w:lineRule="auto" w:line="240" w:before="0" w:after="120"/>
                        <w:rPr>
                          <w:rFonts w:ascii="Arial" w:hAnsi="Arial" w:cs="Arial"/>
                          <w:sz w:val="20"/>
                          <w:szCs w:val="20"/>
                          <w:lang w:val="en-GB"/>
                        </w:rPr>
                      </w:pPr>
                      <w:r>
                        <w:rPr>
                          <w:rFonts w:cs="Arial" w:ascii="Arial" w:hAnsi="Arial"/>
                          <w:sz w:val="20"/>
                          <w:szCs w:val="20"/>
                          <w:lang w:val="en-GB"/>
                        </w:rPr>
                        <w:t>www.etwinning.net</w:t>
                      </w:r>
                    </w:p>
                    <w:p>
                      <w:pPr>
                        <w:pStyle w:val="Normal"/>
                        <w:spacing w:lineRule="auto" w:line="240" w:before="360" w:after="120"/>
                        <w:rPr>
                          <w:rFonts w:ascii="Arial" w:hAnsi="Arial" w:cs="Arial"/>
                          <w:b/>
                          <w:color w:val="E36C0A"/>
                          <w:sz w:val="20"/>
                          <w:szCs w:val="20"/>
                          <w:lang w:val="en-GB"/>
                        </w:rPr>
                      </w:pPr>
                      <w:r>
                        <w:rPr>
                          <w:rFonts w:cs="Arial" w:ascii="Arial" w:hAnsi="Arial"/>
                          <w:b/>
                          <w:color w:val="E36C0A"/>
                          <w:sz w:val="20"/>
                          <w:szCs w:val="20"/>
                          <w:lang w:val="en-GB"/>
                        </w:rPr>
                        <w:t>Collaborative projects developed:</w:t>
                      </w:r>
                    </w:p>
                    <w:p>
                      <w:pPr>
                        <w:pStyle w:val="Normal"/>
                        <w:spacing w:lineRule="auto" w:line="240" w:before="0" w:after="120"/>
                        <w:rPr>
                          <w:rFonts w:ascii="Arial" w:hAnsi="Arial" w:cs="Arial"/>
                          <w:sz w:val="20"/>
                          <w:szCs w:val="20"/>
                          <w:lang w:val="en-GB"/>
                        </w:rPr>
                      </w:pPr>
                      <w:r>
                        <w:rPr>
                          <w:rFonts w:cs="Arial" w:ascii="Arial" w:hAnsi="Arial"/>
                          <w:sz w:val="20"/>
                          <w:szCs w:val="20"/>
                          <w:lang w:val="en-GB"/>
                        </w:rPr>
                        <w:t>90.000+, using different languages</w:t>
                      </w:r>
                    </w:p>
                    <w:p>
                      <w:pPr>
                        <w:pStyle w:val="Normal"/>
                        <w:spacing w:lineRule="auto" w:line="240" w:before="360" w:after="120"/>
                        <w:rPr>
                          <w:rFonts w:ascii="Arial" w:hAnsi="Arial" w:cs="Arial"/>
                          <w:b/>
                          <w:color w:val="E36C0A"/>
                          <w:sz w:val="20"/>
                          <w:szCs w:val="20"/>
                          <w:lang w:val="en-GB"/>
                        </w:rPr>
                      </w:pPr>
                      <w:r>
                        <w:rPr>
                          <w:rFonts w:cs="Arial" w:ascii="Arial" w:hAnsi="Arial"/>
                          <w:b/>
                          <w:color w:val="E36C0A"/>
                          <w:sz w:val="20"/>
                          <w:szCs w:val="20"/>
                          <w:lang w:val="en-GB"/>
                        </w:rPr>
                        <w:t>Teachers in eTwinning (PiCaM countries):</w:t>
                      </w:r>
                    </w:p>
                    <w:p>
                      <w:pPr>
                        <w:pStyle w:val="Normal"/>
                        <w:spacing w:lineRule="auto" w:line="240" w:before="0" w:after="120"/>
                        <w:rPr>
                          <w:rFonts w:ascii="Arial" w:hAnsi="Arial" w:cs="Arial"/>
                          <w:sz w:val="20"/>
                          <w:szCs w:val="20"/>
                          <w:lang w:val="en-GB"/>
                        </w:rPr>
                      </w:pPr>
                      <w:r>
                        <w:rPr>
                          <w:rFonts w:cs="Arial" w:ascii="Arial" w:hAnsi="Arial"/>
                          <w:sz w:val="20"/>
                          <w:szCs w:val="20"/>
                          <w:lang w:val="en-GB"/>
                        </w:rPr>
                        <w:t>UK: 28.000+ teachers from 14.500 schools</w:t>
                      </w:r>
                    </w:p>
                    <w:p>
                      <w:pPr>
                        <w:pStyle w:val="Normal"/>
                        <w:spacing w:lineRule="auto" w:line="240" w:before="0" w:after="120"/>
                        <w:rPr>
                          <w:rFonts w:ascii="Arial" w:hAnsi="Arial" w:cs="Arial"/>
                          <w:sz w:val="20"/>
                          <w:szCs w:val="20"/>
                          <w:lang w:val="en-GB"/>
                        </w:rPr>
                      </w:pPr>
                      <w:r>
                        <w:rPr>
                          <w:rFonts w:cs="Arial" w:ascii="Arial" w:hAnsi="Arial"/>
                          <w:sz w:val="20"/>
                          <w:szCs w:val="20"/>
                          <w:lang w:val="en-GB"/>
                        </w:rPr>
                        <w:t>Greece: 26.000+ teachers from 8.000 schools</w:t>
                      </w:r>
                    </w:p>
                    <w:p>
                      <w:pPr>
                        <w:pStyle w:val="Normal"/>
                        <w:spacing w:lineRule="auto" w:line="240" w:before="0" w:after="120"/>
                        <w:rPr>
                          <w:rFonts w:ascii="Arial" w:hAnsi="Arial" w:cs="Arial"/>
                          <w:sz w:val="20"/>
                          <w:szCs w:val="20"/>
                          <w:lang w:val="en-GB"/>
                        </w:rPr>
                      </w:pPr>
                      <w:r>
                        <w:rPr>
                          <w:rFonts w:cs="Arial" w:ascii="Arial" w:hAnsi="Arial"/>
                          <w:sz w:val="20"/>
                          <w:szCs w:val="20"/>
                          <w:lang w:val="en-GB"/>
                        </w:rPr>
                        <w:t>Portugal: 18.000+ teachers from 1.700 schools</w:t>
                      </w:r>
                    </w:p>
                    <w:p>
                      <w:pPr>
                        <w:pStyle w:val="Normal"/>
                        <w:spacing w:lineRule="auto" w:line="240" w:before="0" w:after="120"/>
                        <w:rPr>
                          <w:rFonts w:ascii="Arial" w:hAnsi="Arial" w:cs="Arial"/>
                          <w:sz w:val="20"/>
                          <w:szCs w:val="20"/>
                          <w:lang w:val="en-GB"/>
                        </w:rPr>
                      </w:pPr>
                      <w:r>
                        <w:rPr>
                          <w:rFonts w:cs="Arial" w:ascii="Arial" w:hAnsi="Arial"/>
                          <w:sz w:val="20"/>
                          <w:szCs w:val="20"/>
                          <w:lang w:val="en-GB"/>
                        </w:rPr>
                        <w:t>Romania: 28.000+ teachers from 9.000 schools</w:t>
                      </w:r>
                    </w:p>
                    <w:p>
                      <w:pPr>
                        <w:pStyle w:val="Normal"/>
                        <w:spacing w:lineRule="auto" w:line="240" w:before="0" w:after="120"/>
                        <w:rPr>
                          <w:rFonts w:ascii="Arial" w:hAnsi="Arial" w:cs="Arial"/>
                          <w:sz w:val="20"/>
                          <w:szCs w:val="20"/>
                          <w:lang w:val="en-GB"/>
                        </w:rPr>
                      </w:pPr>
                      <w:r>
                        <w:rPr>
                          <w:rFonts w:cs="Arial" w:ascii="Arial" w:hAnsi="Arial"/>
                          <w:sz w:val="20"/>
                          <w:szCs w:val="20"/>
                          <w:lang w:val="en-GB"/>
                        </w:rPr>
                        <w:t>Germany: 23.000+ teachers from 8.800 schools</w:t>
                      </w:r>
                    </w:p>
                    <w:p>
                      <w:pPr>
                        <w:pStyle w:val="Normal"/>
                        <w:spacing w:lineRule="auto" w:line="240" w:before="360" w:after="120"/>
                        <w:rPr>
                          <w:rFonts w:ascii="Arial" w:hAnsi="Arial" w:cs="Arial"/>
                          <w:b/>
                          <w:color w:val="E36C0A"/>
                          <w:sz w:val="20"/>
                          <w:szCs w:val="20"/>
                          <w:lang w:val="en-GB"/>
                        </w:rPr>
                      </w:pPr>
                      <w:r>
                        <w:rPr>
                          <w:rFonts w:cs="Arial" w:ascii="Arial" w:hAnsi="Arial"/>
                          <w:b/>
                          <w:color w:val="E36C0A"/>
                          <w:sz w:val="20"/>
                          <w:szCs w:val="20"/>
                          <w:lang w:val="en-GB"/>
                        </w:rPr>
                        <w:t>Subjects:</w:t>
                      </w:r>
                    </w:p>
                    <w:p>
                      <w:pPr>
                        <w:pStyle w:val="Normal"/>
                        <w:spacing w:lineRule="auto" w:line="240" w:before="0" w:after="120"/>
                        <w:rPr>
                          <w:rFonts w:ascii="Arial" w:hAnsi="Arial" w:cs="Arial"/>
                          <w:sz w:val="20"/>
                          <w:szCs w:val="20"/>
                          <w:lang w:val="en-GB"/>
                        </w:rPr>
                      </w:pPr>
                      <w:r>
                        <w:rPr>
                          <w:rFonts w:cs="Arial" w:ascii="Arial" w:hAnsi="Arial"/>
                          <w:sz w:val="20"/>
                          <w:szCs w:val="20"/>
                          <w:lang w:val="en-GB"/>
                        </w:rPr>
                        <w:t>All subjects</w:t>
                      </w:r>
                    </w:p>
                    <w:p>
                      <w:pPr>
                        <w:pStyle w:val="Normal"/>
                        <w:spacing w:lineRule="auto" w:line="240" w:before="0" w:after="120"/>
                        <w:rPr>
                          <w:rFonts w:ascii="Arial" w:hAnsi="Arial" w:cs="Arial"/>
                          <w:sz w:val="20"/>
                          <w:szCs w:val="20"/>
                          <w:lang w:val="en-GB"/>
                        </w:rPr>
                      </w:pPr>
                      <w:r>
                        <w:rPr>
                          <w:rFonts w:cs="Arial" w:ascii="Arial" w:hAnsi="Arial"/>
                          <w:sz w:val="20"/>
                          <w:szCs w:val="20"/>
                          <w:lang w:val="en-GB"/>
                        </w:rPr>
                        <w:t>Cross-curricular topics</w:t>
                      </w:r>
                    </w:p>
                    <w:p>
                      <w:pPr>
                        <w:pStyle w:val="Normal"/>
                        <w:spacing w:lineRule="auto" w:line="240" w:before="0" w:after="120"/>
                        <w:rPr>
                          <w:rFonts w:ascii="Arial" w:hAnsi="Arial" w:cs="Arial"/>
                          <w:sz w:val="20"/>
                          <w:szCs w:val="20"/>
                          <w:lang w:val="en-GB"/>
                        </w:rPr>
                      </w:pPr>
                      <w:r>
                        <w:rPr>
                          <w:rFonts w:cs="Arial" w:ascii="Arial" w:hAnsi="Arial"/>
                          <w:sz w:val="20"/>
                          <w:szCs w:val="20"/>
                          <w:lang w:val="en-GB"/>
                        </w:rPr>
                        <w:t>Extra-curricular themes</w:t>
                      </w:r>
                    </w:p>
                    <w:p>
                      <w:pPr>
                        <w:pStyle w:val="Normal"/>
                        <w:spacing w:lineRule="auto" w:line="240" w:before="360" w:after="120"/>
                        <w:rPr>
                          <w:rFonts w:ascii="Arial" w:hAnsi="Arial" w:cs="Arial"/>
                          <w:b/>
                          <w:color w:val="E36C0A"/>
                          <w:sz w:val="20"/>
                          <w:szCs w:val="20"/>
                          <w:lang w:val="en-GB"/>
                        </w:rPr>
                      </w:pPr>
                      <w:r>
                        <w:rPr>
                          <w:rFonts w:cs="Arial" w:ascii="Arial" w:hAnsi="Arial"/>
                          <w:b/>
                          <w:color w:val="E36C0A"/>
                          <w:sz w:val="20"/>
                          <w:szCs w:val="20"/>
                          <w:lang w:val="en-GB"/>
                        </w:rPr>
                        <w:t>Levels:</w:t>
                      </w:r>
                    </w:p>
                    <w:p>
                      <w:pPr>
                        <w:pStyle w:val="Normal"/>
                        <w:spacing w:lineRule="auto" w:line="240" w:before="0" w:after="120"/>
                        <w:rPr>
                          <w:rFonts w:ascii="Arial" w:hAnsi="Arial" w:cs="Arial"/>
                          <w:sz w:val="20"/>
                          <w:szCs w:val="20"/>
                          <w:lang w:val="en-GB"/>
                        </w:rPr>
                      </w:pPr>
                      <w:r>
                        <w:rPr>
                          <w:rFonts w:cs="Arial" w:ascii="Arial" w:hAnsi="Arial"/>
                          <w:sz w:val="20"/>
                          <w:szCs w:val="20"/>
                          <w:lang w:val="en-GB"/>
                        </w:rPr>
                        <w:t>Kindergarten</w:t>
                      </w:r>
                    </w:p>
                    <w:p>
                      <w:pPr>
                        <w:pStyle w:val="Normal"/>
                        <w:spacing w:lineRule="auto" w:line="240" w:before="0" w:after="120"/>
                        <w:rPr>
                          <w:rFonts w:ascii="Arial" w:hAnsi="Arial" w:cs="Arial"/>
                          <w:sz w:val="20"/>
                          <w:szCs w:val="20"/>
                          <w:lang w:val="en-GB"/>
                        </w:rPr>
                      </w:pPr>
                      <w:r>
                        <w:rPr>
                          <w:rFonts w:cs="Arial" w:ascii="Arial" w:hAnsi="Arial"/>
                          <w:sz w:val="20"/>
                          <w:szCs w:val="20"/>
                          <w:lang w:val="en-GB"/>
                        </w:rPr>
                        <w:t>Primary</w:t>
                      </w:r>
                    </w:p>
                    <w:p>
                      <w:pPr>
                        <w:pStyle w:val="Normal"/>
                        <w:spacing w:lineRule="auto" w:line="240" w:before="0" w:after="120"/>
                        <w:rPr>
                          <w:rFonts w:ascii="Arial" w:hAnsi="Arial" w:cs="Arial"/>
                          <w:sz w:val="20"/>
                          <w:szCs w:val="20"/>
                          <w:lang w:val="en-GB"/>
                        </w:rPr>
                      </w:pPr>
                      <w:r>
                        <w:rPr>
                          <w:rFonts w:cs="Arial" w:ascii="Arial" w:hAnsi="Arial"/>
                          <w:sz w:val="20"/>
                          <w:szCs w:val="20"/>
                          <w:lang w:val="en-GB"/>
                        </w:rPr>
                        <w:t>Lower secondary</w:t>
                      </w:r>
                    </w:p>
                    <w:p>
                      <w:pPr>
                        <w:pStyle w:val="Normal"/>
                        <w:spacing w:lineRule="auto" w:line="240" w:before="0" w:after="120"/>
                        <w:rPr>
                          <w:rFonts w:ascii="Arial" w:hAnsi="Arial" w:cs="Arial"/>
                          <w:sz w:val="20"/>
                          <w:szCs w:val="20"/>
                          <w:lang w:val="en-GB"/>
                        </w:rPr>
                      </w:pPr>
                      <w:r>
                        <w:rPr>
                          <w:rFonts w:cs="Arial" w:ascii="Arial" w:hAnsi="Arial"/>
                          <w:sz w:val="20"/>
                          <w:szCs w:val="20"/>
                          <w:lang w:val="en-GB"/>
                        </w:rPr>
                        <w:t>Upper secondary</w:t>
                      </w:r>
                    </w:p>
                  </w:txbxContent>
                </v:textbox>
                <w10:wrap type="square"/>
              </v:rect>
            </w:pict>
          </mc:Fallback>
        </mc:AlternateContent>
      </w:r>
    </w:p>
    <w:p>
      <w:pPr>
        <w:pStyle w:val="Normal"/>
        <w:spacing w:lineRule="auto" w:line="240" w:before="0" w:after="120"/>
        <w:rPr>
          <w:rFonts w:ascii="Roboto" w:hAnsi="Roboto" w:cs="Arial"/>
          <w:bCs/>
          <w:lang w:val="en-GB"/>
        </w:rPr>
      </w:pPr>
      <w:r>
        <w:rPr>
          <w:rFonts w:cs="Arial" w:ascii="Roboto" w:hAnsi="Roboto"/>
          <w:bCs/>
          <w:lang w:val="en-GB"/>
        </w:rPr>
        <w:t>eTwinning is part of Erasmus</w:t>
      </w:r>
      <w:r>
        <w:rPr>
          <w:rFonts w:cs="Roboto" w:ascii="Roboto" w:hAnsi="Roboto"/>
          <w:lang w:val="ro-RO"/>
        </w:rPr>
        <w:t xml:space="preserve">+, </w:t>
      </w:r>
      <w:r>
        <w:rPr>
          <w:rFonts w:cs="Arial" w:ascii="Roboto" w:hAnsi="Roboto"/>
          <w:bCs/>
          <w:lang w:val="en-GB"/>
        </w:rPr>
        <w:t>the EU programme for Education, Training, Youth and Sport.</w:t>
      </w:r>
    </w:p>
    <w:p>
      <w:pPr>
        <w:pStyle w:val="Normal"/>
        <w:spacing w:lineRule="auto" w:line="240" w:before="0" w:after="120"/>
        <w:rPr>
          <w:rFonts w:ascii="Roboto" w:hAnsi="Roboto" w:cs="Arial"/>
          <w:bCs/>
          <w:lang w:val="en-GB"/>
        </w:rPr>
      </w:pPr>
      <w:r>
        <w:rPr>
          <w:rFonts w:cs="Arial" w:ascii="Roboto" w:hAnsi="Roboto"/>
          <w:bCs/>
          <w:lang w:val="en-GB"/>
        </w:rPr>
        <w:t xml:space="preserve">The core of eTwinning Action is the online platform etwinning.net, where teachers from different countries can design, develop and evaluate educational projects in which their students collaborate and learn together. </w:t>
      </w:r>
    </w:p>
    <w:p>
      <w:pPr>
        <w:pStyle w:val="Normal"/>
        <w:spacing w:lineRule="auto" w:line="240" w:before="0" w:after="120"/>
        <w:rPr>
          <w:rFonts w:ascii="Roboto" w:hAnsi="Roboto" w:cs="Arial"/>
          <w:bCs/>
          <w:sz w:val="20"/>
          <w:szCs w:val="20"/>
          <w:lang w:val="en-GB"/>
        </w:rPr>
      </w:pPr>
      <w:r>
        <w:rPr>
          <w:rFonts w:cs="Arial" w:ascii="Roboto" w:hAnsi="Roboto"/>
          <w:bCs/>
          <w:sz w:val="20"/>
          <w:szCs w:val="20"/>
          <w:lang w:val="en-GB"/>
        </w:rPr>
      </w:r>
    </w:p>
    <w:p>
      <w:pPr>
        <w:pStyle w:val="Normal"/>
        <w:spacing w:lineRule="auto" w:line="240" w:before="0" w:after="120"/>
        <w:rPr>
          <w:rFonts w:ascii="Roboto" w:hAnsi="Roboto" w:cs="Arial"/>
          <w:b/>
          <w:color w:val="0A9687"/>
          <w:lang w:val="en-GB"/>
        </w:rPr>
      </w:pPr>
      <w:r>
        <w:rPr>
          <w:rFonts w:cs="Arial" w:ascii="Roboto" w:hAnsi="Roboto"/>
          <w:b/>
          <w:color w:val="0A9687"/>
          <w:lang w:val="en-GB"/>
        </w:rPr>
        <w:t>Teachers</w:t>
      </w:r>
    </w:p>
    <w:p>
      <w:pPr>
        <w:pStyle w:val="ListParagraph"/>
        <w:numPr>
          <w:ilvl w:val="0"/>
          <w:numId w:val="2"/>
        </w:numPr>
        <w:spacing w:lineRule="auto" w:line="240" w:before="0" w:after="120"/>
        <w:contextualSpacing/>
        <w:rPr>
          <w:rFonts w:ascii="Roboto" w:hAnsi="Roboto" w:cs="Arial"/>
          <w:bCs/>
          <w:lang w:val="en-GB"/>
        </w:rPr>
      </w:pPr>
      <w:r>
        <w:rPr>
          <w:rFonts w:cs="Arial" w:ascii="Roboto" w:hAnsi="Roboto"/>
          <w:bCs/>
          <w:lang w:val="en-GB"/>
        </w:rPr>
        <w:t>have access to new teaching ideas and methods</w:t>
      </w:r>
    </w:p>
    <w:p>
      <w:pPr>
        <w:pStyle w:val="ListParagraph"/>
        <w:numPr>
          <w:ilvl w:val="0"/>
          <w:numId w:val="2"/>
        </w:numPr>
        <w:spacing w:lineRule="auto" w:line="240" w:before="0" w:after="120"/>
        <w:contextualSpacing/>
        <w:rPr>
          <w:rFonts w:ascii="Roboto" w:hAnsi="Roboto" w:cs="Arial"/>
          <w:bCs/>
          <w:lang w:val="en-GB"/>
        </w:rPr>
      </w:pPr>
      <w:r>
        <w:rPr>
          <w:rFonts w:cs="Arial" w:ascii="Roboto" w:hAnsi="Roboto"/>
          <w:bCs/>
          <w:lang w:val="en-GB"/>
        </w:rPr>
        <w:t>join transnational and cross-curricular projects</w:t>
      </w:r>
    </w:p>
    <w:p>
      <w:pPr>
        <w:pStyle w:val="ListParagraph"/>
        <w:numPr>
          <w:ilvl w:val="0"/>
          <w:numId w:val="2"/>
        </w:numPr>
        <w:spacing w:lineRule="auto" w:line="240" w:before="0" w:after="120"/>
        <w:contextualSpacing/>
        <w:rPr>
          <w:rFonts w:ascii="Roboto" w:hAnsi="Roboto" w:cs="Arial"/>
          <w:bCs/>
          <w:lang w:val="en-GB"/>
        </w:rPr>
      </w:pPr>
      <w:r>
        <w:rPr>
          <w:rFonts w:cs="Arial" w:ascii="Roboto" w:hAnsi="Roboto"/>
          <w:bCs/>
          <w:lang w:val="en-GB"/>
        </w:rPr>
        <w:t>exchange experience</w:t>
      </w:r>
    </w:p>
    <w:p>
      <w:pPr>
        <w:pStyle w:val="ListParagraph"/>
        <w:numPr>
          <w:ilvl w:val="0"/>
          <w:numId w:val="2"/>
        </w:numPr>
        <w:rPr>
          <w:rFonts w:ascii="Roboto" w:hAnsi="Roboto" w:cs="Arial"/>
          <w:bCs/>
          <w:lang w:val="en-GB"/>
        </w:rPr>
      </w:pPr>
      <w:r>
        <w:rPr>
          <w:rFonts w:cs="Arial" w:ascii="Roboto" w:hAnsi="Roboto"/>
          <w:bCs/>
          <w:lang w:val="en-GB"/>
        </w:rPr>
        <w:t>access online courses, in CPD section</w:t>
      </w:r>
    </w:p>
    <w:p>
      <w:pPr>
        <w:pStyle w:val="Normal"/>
        <w:spacing w:lineRule="auto" w:line="240" w:before="240" w:after="120"/>
        <w:rPr>
          <w:rFonts w:ascii="Roboto" w:hAnsi="Roboto" w:cs="Arial"/>
          <w:b/>
          <w:color w:val="E36C0A"/>
          <w:lang w:val="en-GB"/>
        </w:rPr>
      </w:pPr>
      <w:r>
        <w:rPr>
          <w:rFonts w:cs="Arial" w:ascii="Roboto" w:hAnsi="Roboto"/>
          <w:b/>
          <w:color w:val="E36C0A"/>
          <w:lang w:val="en-GB"/>
        </w:rPr>
        <w:t>Advantages</w:t>
      </w:r>
    </w:p>
    <w:p>
      <w:pPr>
        <w:pStyle w:val="ListParagraph"/>
        <w:numPr>
          <w:ilvl w:val="0"/>
          <w:numId w:val="1"/>
        </w:numPr>
        <w:spacing w:lineRule="auto" w:line="240" w:before="0" w:after="120"/>
        <w:contextualSpacing/>
        <w:rPr>
          <w:rFonts w:ascii="Roboto" w:hAnsi="Roboto" w:cs="Arial"/>
          <w:bCs/>
          <w:lang w:val="en-GB"/>
        </w:rPr>
      </w:pPr>
      <w:r>
        <w:rPr>
          <w:rFonts w:cs="Arial" w:ascii="Roboto" w:hAnsi="Roboto"/>
          <w:bCs/>
          <w:lang w:val="en-GB"/>
        </w:rPr>
        <w:t>enriching curriculum</w:t>
      </w:r>
    </w:p>
    <w:p>
      <w:pPr>
        <w:pStyle w:val="ListParagraph"/>
        <w:numPr>
          <w:ilvl w:val="0"/>
          <w:numId w:val="1"/>
        </w:numPr>
        <w:spacing w:lineRule="auto" w:line="240" w:before="0" w:after="120"/>
        <w:contextualSpacing/>
        <w:rPr>
          <w:rFonts w:ascii="Roboto" w:hAnsi="Roboto" w:cs="Arial"/>
          <w:bCs/>
          <w:lang w:val="en-GB"/>
        </w:rPr>
      </w:pPr>
      <w:r>
        <w:rPr>
          <w:rFonts w:cs="Arial" w:ascii="Roboto" w:hAnsi="Roboto"/>
          <w:bCs/>
          <w:lang w:val="en-GB"/>
        </w:rPr>
        <w:t>enhancing learning/ teaching</w:t>
      </w:r>
    </w:p>
    <w:p>
      <w:pPr>
        <w:pStyle w:val="ListParagraph"/>
        <w:numPr>
          <w:ilvl w:val="0"/>
          <w:numId w:val="1"/>
        </w:numPr>
        <w:spacing w:lineRule="auto" w:line="240" w:before="0" w:after="120"/>
        <w:contextualSpacing/>
        <w:rPr>
          <w:rFonts w:ascii="Roboto" w:hAnsi="Roboto" w:cs="Arial"/>
          <w:bCs/>
          <w:lang w:val="en-GB"/>
        </w:rPr>
      </w:pPr>
      <w:r>
        <w:rPr>
          <w:rFonts w:cs="Arial" w:ascii="Roboto" w:hAnsi="Roboto"/>
          <w:bCs/>
          <w:lang w:val="en-GB"/>
        </w:rPr>
        <w:t>establishing connections</w:t>
      </w:r>
    </w:p>
    <w:p>
      <w:pPr>
        <w:pStyle w:val="ListParagraph"/>
        <w:numPr>
          <w:ilvl w:val="0"/>
          <w:numId w:val="1"/>
        </w:numPr>
        <w:spacing w:lineRule="auto" w:line="240" w:before="0" w:after="120"/>
        <w:contextualSpacing/>
        <w:rPr>
          <w:rFonts w:ascii="Roboto" w:hAnsi="Roboto" w:cs="Arial"/>
          <w:bCs/>
          <w:lang w:val="en-GB"/>
        </w:rPr>
      </w:pPr>
      <w:r>
        <w:rPr>
          <w:rFonts w:cs="Arial" w:ascii="Roboto" w:hAnsi="Roboto"/>
          <w:bCs/>
          <w:lang w:val="en-GB"/>
        </w:rPr>
        <w:t>enabling intercultural exchange</w:t>
      </w:r>
    </w:p>
    <w:p>
      <w:pPr>
        <w:pStyle w:val="ListParagraph"/>
        <w:numPr>
          <w:ilvl w:val="0"/>
          <w:numId w:val="1"/>
        </w:numPr>
        <w:spacing w:lineRule="auto" w:line="240" w:before="0" w:after="120"/>
        <w:contextualSpacing/>
        <w:rPr>
          <w:rFonts w:ascii="Roboto" w:hAnsi="Roboto" w:cs="Arial"/>
          <w:bCs/>
          <w:lang w:val="en-GB"/>
        </w:rPr>
      </w:pPr>
      <w:r>
        <w:rPr>
          <w:rFonts w:cs="Arial" w:ascii="Roboto" w:hAnsi="Roboto"/>
          <w:bCs/>
          <w:lang w:val="en-GB"/>
        </w:rPr>
        <w:t>developing transversal key competences</w:t>
      </w:r>
    </w:p>
    <w:p>
      <w:pPr>
        <w:pStyle w:val="ListParagraph"/>
        <w:numPr>
          <w:ilvl w:val="0"/>
          <w:numId w:val="1"/>
        </w:numPr>
        <w:spacing w:lineRule="auto" w:line="240" w:before="0" w:after="120"/>
        <w:contextualSpacing/>
        <w:rPr>
          <w:rFonts w:ascii="Roboto" w:hAnsi="Roboto" w:cs="Arial"/>
          <w:bCs/>
          <w:lang w:val="en-GB"/>
        </w:rPr>
      </w:pPr>
      <w:r>
        <w:rPr>
          <w:rFonts w:cs="Arial" w:ascii="Roboto" w:hAnsi="Roboto"/>
          <w:bCs/>
          <w:lang w:val="en-GB"/>
        </w:rPr>
        <w:t>linking formal and nonformal learning</w:t>
      </w:r>
    </w:p>
    <w:p>
      <w:pPr>
        <w:pStyle w:val="ListParagraph"/>
        <w:numPr>
          <w:ilvl w:val="0"/>
          <w:numId w:val="1"/>
        </w:numPr>
        <w:spacing w:lineRule="auto" w:line="240" w:before="0" w:after="120"/>
        <w:contextualSpacing/>
        <w:rPr>
          <w:rFonts w:ascii="Roboto" w:hAnsi="Roboto" w:cs="Arial"/>
          <w:bCs/>
          <w:lang w:val="en-GB"/>
        </w:rPr>
      </w:pPr>
      <w:r>
        <w:rPr>
          <w:rFonts w:cs="Arial" w:ascii="Roboto" w:hAnsi="Roboto"/>
          <w:bCs/>
          <w:lang w:val="en-GB"/>
        </w:rPr>
        <w:t>raising student engagement and motivation</w:t>
      </w:r>
    </w:p>
    <w:p>
      <w:pPr>
        <w:pStyle w:val="ListParagraph"/>
        <w:numPr>
          <w:ilvl w:val="0"/>
          <w:numId w:val="1"/>
        </w:numPr>
        <w:spacing w:lineRule="auto" w:line="240" w:before="0" w:after="120"/>
        <w:contextualSpacing/>
        <w:rPr>
          <w:rFonts w:ascii="Roboto" w:hAnsi="Roboto" w:cs="Arial"/>
          <w:bCs/>
          <w:lang w:val="en-GB"/>
        </w:rPr>
      </w:pPr>
      <w:r>
        <w:rPr>
          <w:rFonts w:cs="Arial" w:ascii="Roboto" w:hAnsi="Roboto"/>
          <w:bCs/>
          <w:lang w:val="en-GB"/>
        </w:rPr>
        <w:t>developing global citizenship values and attitudes</w:t>
      </w:r>
    </w:p>
    <w:p>
      <w:pPr>
        <w:pStyle w:val="Normal"/>
        <w:spacing w:lineRule="auto" w:line="240" w:before="0" w:after="120"/>
        <w:rPr>
          <w:rFonts w:ascii="Roboto" w:hAnsi="Roboto" w:cs="Arial"/>
          <w:b/>
          <w:color w:val="0A9687"/>
          <w:lang w:val="en-GB"/>
        </w:rPr>
      </w:pPr>
      <w:r>
        <w:rPr>
          <w:rFonts w:cs="Arial" w:ascii="Roboto" w:hAnsi="Roboto"/>
          <w:b/>
          <w:color w:val="0A9687"/>
          <w:lang w:val="en-GB"/>
        </w:rPr>
        <w:t>Students</w:t>
      </w:r>
    </w:p>
    <w:p>
      <w:pPr>
        <w:pStyle w:val="ListParagraph"/>
        <w:numPr>
          <w:ilvl w:val="0"/>
          <w:numId w:val="2"/>
        </w:numPr>
        <w:spacing w:lineRule="auto" w:line="240" w:before="0" w:after="120"/>
        <w:contextualSpacing/>
        <w:rPr>
          <w:rFonts w:ascii="Roboto" w:hAnsi="Roboto" w:cs="Arial"/>
          <w:bCs/>
          <w:lang w:val="en-GB"/>
        </w:rPr>
      </w:pPr>
      <w:r>
        <w:rPr>
          <w:rFonts w:cs="Arial" w:ascii="Roboto" w:hAnsi="Roboto"/>
          <w:bCs/>
          <w:lang w:val="en-GB"/>
        </w:rPr>
        <w:t>take part in novel learning experiences</w:t>
      </w:r>
    </w:p>
    <w:p>
      <w:pPr>
        <w:pStyle w:val="ListParagraph"/>
        <w:numPr>
          <w:ilvl w:val="0"/>
          <w:numId w:val="2"/>
        </w:numPr>
        <w:spacing w:lineRule="auto" w:line="240" w:before="0" w:after="120"/>
        <w:contextualSpacing/>
        <w:rPr>
          <w:rFonts w:ascii="Roboto" w:hAnsi="Roboto" w:cs="Arial"/>
          <w:bCs/>
          <w:lang w:val="en-GB"/>
        </w:rPr>
      </w:pPr>
      <w:r>
        <w:rPr>
          <w:rFonts w:cs="Arial" w:ascii="Roboto" w:hAnsi="Roboto"/>
          <w:bCs/>
          <w:lang w:val="en-GB"/>
        </w:rPr>
        <w:t>learn to use new digital tools and resources for learning</w:t>
      </w:r>
    </w:p>
    <w:p>
      <w:pPr>
        <w:pStyle w:val="ListParagraph"/>
        <w:numPr>
          <w:ilvl w:val="0"/>
          <w:numId w:val="2"/>
        </w:numPr>
        <w:spacing w:lineRule="auto" w:line="240" w:before="0" w:after="120"/>
        <w:contextualSpacing/>
        <w:rPr>
          <w:rFonts w:ascii="Roboto" w:hAnsi="Roboto" w:cs="Arial"/>
          <w:bCs/>
          <w:lang w:val="en-GB"/>
        </w:rPr>
      </w:pPr>
      <w:r>
        <w:rPr>
          <w:rFonts w:cs="Arial" w:ascii="Roboto" w:hAnsi="Roboto"/>
          <w:bCs/>
          <w:lang w:val="en-GB"/>
        </w:rPr>
        <w:t>collaborate in developing products and knowledge</w:t>
      </w:r>
    </w:p>
    <w:p>
      <w:pPr>
        <w:pStyle w:val="ListParagraph"/>
        <w:numPr>
          <w:ilvl w:val="0"/>
          <w:numId w:val="2"/>
        </w:numPr>
        <w:spacing w:lineRule="auto" w:line="240" w:before="0" w:after="120"/>
        <w:contextualSpacing/>
        <w:rPr>
          <w:rFonts w:ascii="Roboto" w:hAnsi="Roboto" w:cs="Arial"/>
          <w:bCs/>
          <w:lang w:val="en-GB"/>
        </w:rPr>
      </w:pPr>
      <w:r>
        <w:rPr>
          <w:rFonts w:cs="Arial" w:ascii="Roboto" w:hAnsi="Roboto"/>
          <w:bCs/>
          <w:lang w:val="en-GB"/>
        </w:rPr>
        <w:t>make meaningful connection with the outside world from their school environment</w:t>
      </w:r>
    </w:p>
    <w:p>
      <w:pPr>
        <w:pStyle w:val="ListParagraph"/>
        <w:numPr>
          <w:ilvl w:val="0"/>
          <w:numId w:val="2"/>
        </w:numPr>
        <w:spacing w:lineRule="auto" w:line="240" w:before="0" w:after="120"/>
        <w:contextualSpacing/>
        <w:rPr>
          <w:rFonts w:ascii="Roboto" w:hAnsi="Roboto" w:cs="Arial"/>
          <w:bCs/>
          <w:lang w:val="en-GB"/>
        </w:rPr>
      </w:pPr>
      <w:r>
        <w:rPr>
          <w:rFonts w:cs="Arial" w:ascii="Roboto" w:hAnsi="Roboto"/>
          <w:bCs/>
          <w:lang w:val="en-GB"/>
        </w:rPr>
        <w:t>communicate in foreign languages</w:t>
      </w:r>
    </w:p>
    <w:p>
      <w:pPr>
        <w:pStyle w:val="Normal"/>
        <w:spacing w:lineRule="auto" w:line="240" w:before="0" w:after="0"/>
        <w:rPr>
          <w:rFonts w:ascii="Roboto" w:hAnsi="Roboto" w:cs="Arial"/>
          <w:bCs/>
          <w:lang w:val="en-GB"/>
        </w:rPr>
      </w:pPr>
      <w:r>
        <w:rPr>
          <w:rFonts w:cs="Arial" w:ascii="Roboto" w:hAnsi="Roboto"/>
          <w:bCs/>
          <w:lang w:val="en-GB"/>
        </w:rPr>
      </w:r>
    </w:p>
    <w:p>
      <w:pPr>
        <w:pStyle w:val="Normal"/>
        <w:spacing w:lineRule="auto" w:line="240" w:before="0" w:after="0"/>
        <w:rPr>
          <w:rFonts w:ascii="Roboto" w:hAnsi="Roboto" w:cs="Arial"/>
          <w:bCs/>
          <w:lang w:val="en-GB"/>
        </w:rPr>
      </w:pPr>
      <w:r>
        <w:rPr>
          <w:rFonts w:cs="Arial" w:ascii="Roboto" w:hAnsi="Roboto"/>
          <w:bCs/>
          <w:lang w:val="en-GB"/>
        </w:rPr>
        <w:t>The open, applied, cross-curricular approach underpinning PiCaM activities is suitable for innovative education scenarios in which gamification, project-based learning, team teaching, flipped classroom are used to design and develop meaningful, attractive, memorable learning experiences. Collaborative tasks are embedded, allowing pupils to discover together mathematical content, its significance for social and cultural life, its added value for citizenship.</w:t>
      </w:r>
    </w:p>
    <w:p>
      <w:pPr>
        <w:pStyle w:val="Normal"/>
        <w:spacing w:lineRule="auto" w:line="240" w:before="0" w:after="0"/>
        <w:rPr>
          <w:rFonts w:ascii="Roboto" w:hAnsi="Roboto" w:cs="Arial"/>
          <w:bCs/>
          <w:lang w:val="en-GB"/>
        </w:rPr>
      </w:pPr>
      <w:r>
        <w:rPr>
          <w:rFonts w:cs="Arial" w:ascii="Roboto" w:hAnsi="Roboto"/>
          <w:bCs/>
          <w:lang w:val="en-GB"/>
        </w:rPr>
      </w:r>
    </w:p>
    <w:p>
      <w:pPr>
        <w:pStyle w:val="Normal"/>
        <w:spacing w:lineRule="auto" w:line="240" w:before="0" w:after="0"/>
        <w:rPr>
          <w:rFonts w:ascii="Roboto" w:hAnsi="Roboto" w:cs="Arial"/>
          <w:bCs/>
          <w:lang w:val="en-GB"/>
        </w:rPr>
      </w:pPr>
      <w:r>
        <w:rPr>
          <w:rFonts w:cs="Arial" w:ascii="Roboto" w:hAnsi="Roboto"/>
          <w:bCs/>
          <w:lang w:val="en-GB"/>
        </w:rPr>
        <w:t>eTwinning offers the platform, framework and tools to support and expand the collaborative dimension of learning activities developed within PiCaM, helping teachers to find peers all around Europe, helping students to connect, to break cultural barriers, to learn with joy in an inclusive, attractive, safe environment.</w:t>
      </w:r>
    </w:p>
    <w:p>
      <w:pPr>
        <w:pStyle w:val="Normal"/>
        <w:spacing w:lineRule="auto" w:line="240" w:before="0" w:after="0"/>
        <w:rPr>
          <w:rFonts w:ascii="Roboto" w:hAnsi="Roboto" w:cs="Arial"/>
          <w:bCs/>
          <w:lang w:val="en-GB"/>
        </w:rPr>
      </w:pPr>
      <w:r>
        <w:rPr>
          <w:rFonts w:cs="Arial" w:ascii="Roboto" w:hAnsi="Roboto"/>
          <w:bCs/>
          <w:lang w:val="en-GB"/>
        </w:rPr>
      </w:r>
    </w:p>
    <w:p>
      <w:pPr>
        <w:pStyle w:val="Normal"/>
        <w:spacing w:lineRule="auto" w:line="240" w:before="120" w:after="120"/>
        <w:rPr>
          <w:rFonts w:ascii="Roboto" w:hAnsi="Roboto" w:cs="Arial"/>
          <w:b/>
          <w:color w:val="E36C0A"/>
          <w:lang w:val="en-GB"/>
        </w:rPr>
      </w:pPr>
      <w:r>
        <w:rPr>
          <w:rFonts w:cs="Arial" w:ascii="Roboto" w:hAnsi="Roboto"/>
          <w:b/>
          <w:color w:val="E36C0A"/>
          <w:lang w:val="en-GB"/>
        </w:rPr>
        <w:t>Support for teachers to develop eTwinning PiCaM activities</w:t>
      </w:r>
    </w:p>
    <w:p>
      <w:pPr>
        <w:pStyle w:val="Normal"/>
        <w:spacing w:lineRule="auto" w:line="240" w:before="0" w:after="0"/>
        <w:rPr>
          <w:rFonts w:ascii="Roboto" w:hAnsi="Roboto" w:cs="Arial"/>
          <w:bCs/>
          <w:lang w:val="en-GB"/>
        </w:rPr>
      </w:pPr>
      <w:r>
        <w:rPr>
          <w:rFonts w:cs="Arial" w:ascii="Roboto" w:hAnsi="Roboto"/>
          <w:bCs/>
          <w:lang w:val="en-GB"/>
        </w:rPr>
        <w:t>For activities that include collaborative tasks, teachers are provided with resources, developed by PiCaM project members using current eTwinning templates (”eTwinning kits”). Each PiCaM eTwinning kit consists of suggestions or models of collaborative learning paths based on PiCaM content, guiding teachers to create new eTwinning projects; it includes a short description, pedagogical objectives, key competences, possible subjects, suitable age group, ideas for transnational collaboration and communication among students, evaluation and assessment methods, ideas for follow up learning activities.</w:t>
      </w:r>
    </w:p>
    <w:p>
      <w:pPr>
        <w:pStyle w:val="Normal"/>
        <w:spacing w:lineRule="auto" w:line="240" w:before="80" w:after="0"/>
        <w:rPr>
          <w:rFonts w:ascii="Roboto" w:hAnsi="Roboto" w:cs="Arial"/>
          <w:bCs/>
          <w:lang w:val="en-GB"/>
        </w:rPr>
      </w:pPr>
      <w:r>
        <w:rPr>
          <w:rFonts w:cs="Arial" w:ascii="Roboto" w:hAnsi="Roboto"/>
          <w:bCs/>
          <w:lang w:val="en-GB"/>
        </w:rPr>
        <w:t>PiCaM eTwinning kits will be available on the</w:t>
      </w:r>
      <w:r>
        <w:rPr>
          <w:rFonts w:cs="Arial" w:ascii="Roboto" w:hAnsi="Roboto"/>
          <w:bCs/>
          <w:i/>
          <w:iCs/>
          <w:lang w:val="en-GB"/>
        </w:rPr>
        <w:t xml:space="preserve"> </w:t>
      </w:r>
      <w:hyperlink r:id="rId2">
        <w:r>
          <w:rPr>
            <w:rStyle w:val="Hyperlink"/>
            <w:rFonts w:cs="Arial" w:ascii="Roboto" w:hAnsi="Roboto"/>
            <w:bCs/>
            <w:lang w:val="en-GB"/>
          </w:rPr>
          <w:t>citizenship-and-mathematics.eu</w:t>
        </w:r>
      </w:hyperlink>
      <w:r>
        <w:rPr>
          <w:rFonts w:cs="Arial" w:ascii="Roboto" w:hAnsi="Roboto"/>
          <w:bCs/>
          <w:lang w:val="en-GB"/>
        </w:rPr>
        <w:t xml:space="preserve"> website, as well as on the </w:t>
      </w:r>
      <w:hyperlink r:id="rId3">
        <w:r>
          <w:rPr>
            <w:rStyle w:val="Hyperlink"/>
            <w:rFonts w:cs="Arial" w:ascii="Roboto" w:hAnsi="Roboto"/>
            <w:bCs/>
            <w:lang w:val="en-GB"/>
          </w:rPr>
          <w:t>eTwinning.net</w:t>
        </w:r>
      </w:hyperlink>
      <w:r>
        <w:rPr>
          <w:rFonts w:cs="Arial" w:ascii="Roboto" w:hAnsi="Roboto"/>
          <w:bCs/>
          <w:lang w:val="en-GB"/>
        </w:rPr>
        <w:t xml:space="preserve"> platform. You can see some example projects here: </w:t>
      </w:r>
      <w:hyperlink r:id="rId4">
        <w:r>
          <w:rPr>
            <w:rStyle w:val="Hyperlink"/>
            <w:rFonts w:cs="Arial" w:ascii="Roboto" w:hAnsi="Roboto"/>
            <w:bCs/>
            <w:lang w:val="en-GB"/>
          </w:rPr>
          <w:t>https://www.etwinning.net/en/pub/projects.htm</w:t>
        </w:r>
      </w:hyperlink>
      <w:r>
        <w:rPr>
          <w:rFonts w:cs="Arial" w:ascii="Roboto" w:hAnsi="Roboto"/>
          <w:bCs/>
          <w:lang w:val="en-GB"/>
        </w:rPr>
        <w:t xml:space="preserve"> </w:t>
      </w:r>
    </w:p>
    <w:p>
      <w:pPr>
        <w:pStyle w:val="Normal"/>
        <w:spacing w:lineRule="auto" w:line="240" w:before="120" w:after="120"/>
        <w:rPr>
          <w:rFonts w:ascii="Roboto" w:hAnsi="Roboto" w:cs="Arial"/>
          <w:bCs/>
          <w:lang w:val="en-GB"/>
        </w:rPr>
      </w:pPr>
      <w:r>
        <w:rPr>
          <w:rFonts w:cs="Arial" w:ascii="Roboto" w:hAnsi="Roboto"/>
          <w:bCs/>
          <w:lang w:val="en-GB"/>
        </w:rPr>
      </w:r>
    </w:p>
    <w:p>
      <w:pPr>
        <w:pStyle w:val="Normal"/>
        <w:spacing w:lineRule="auto" w:line="240" w:before="120" w:after="120"/>
        <w:rPr>
          <w:rFonts w:ascii="Roboto" w:hAnsi="Roboto" w:cs="Arial"/>
          <w:b/>
          <w:color w:val="E36C0A"/>
          <w:lang w:val="en-GB"/>
        </w:rPr>
      </w:pPr>
      <w:r>
        <w:rPr>
          <w:rFonts w:cs="Arial" w:ascii="Roboto" w:hAnsi="Roboto"/>
          <w:b/>
          <w:color w:val="E36C0A"/>
          <w:lang w:val="en-GB"/>
        </w:rPr>
        <w:t>eTwinning National Support Services</w:t>
      </w:r>
    </w:p>
    <w:p>
      <w:pPr>
        <w:pStyle w:val="Normal"/>
        <w:spacing w:lineRule="auto" w:line="240" w:before="0" w:after="80"/>
        <w:rPr>
          <w:rFonts w:ascii="Roboto" w:hAnsi="Roboto" w:cs="Arial"/>
          <w:bCs/>
          <w:lang w:val="en-GB" w:eastAsia="en-US"/>
        </w:rPr>
      </w:pPr>
      <w:r>
        <w:rPr>
          <w:rFonts w:cs="Arial" w:ascii="Roboto" w:hAnsi="Roboto"/>
          <w:b/>
          <w:color w:val="0A9687"/>
          <w:lang w:val="en-GB"/>
        </w:rPr>
        <w:t>UK</w:t>
      </w:r>
      <w:r>
        <w:rPr>
          <w:rFonts w:cs="Arial" w:ascii="Roboto" w:hAnsi="Roboto"/>
          <w:bCs/>
          <w:lang w:val="en-GB" w:eastAsia="en-US"/>
        </w:rPr>
        <w:t>: British Council</w:t>
      </w:r>
    </w:p>
    <w:p>
      <w:pPr>
        <w:pStyle w:val="Normal"/>
        <w:spacing w:lineRule="auto" w:line="360" w:before="0" w:after="120"/>
        <w:ind w:start="459" w:end="0"/>
        <w:rPr>
          <w:rFonts w:ascii="Roboto" w:hAnsi="Roboto" w:cs="Arial"/>
          <w:bCs/>
          <w:lang w:val="en-GB" w:eastAsia="en-US"/>
        </w:rPr>
      </w:pPr>
      <w:r>
        <w:rPr>
          <w:rFonts w:cs="Arial" w:ascii="Roboto" w:hAnsi="Roboto"/>
          <w:bCs/>
          <w:lang w:val="en-GB" w:eastAsia="en-US"/>
        </w:rPr>
        <w:t>britishcouncil.org/etwinning</w:t>
      </w:r>
    </w:p>
    <w:p>
      <w:pPr>
        <w:pStyle w:val="Normal"/>
        <w:spacing w:lineRule="auto" w:line="240" w:before="0" w:after="80"/>
        <w:rPr>
          <w:rFonts w:ascii="Roboto" w:hAnsi="Roboto" w:cs="Arial"/>
          <w:bCs/>
          <w:lang w:val="en-GB" w:eastAsia="en-US"/>
        </w:rPr>
      </w:pPr>
      <w:r>
        <w:rPr>
          <w:rFonts w:cs="Arial" w:ascii="Roboto" w:hAnsi="Roboto"/>
          <w:b/>
          <w:color w:val="0A9687"/>
          <w:lang w:val="en-GB"/>
        </w:rPr>
        <w:t>Greece</w:t>
      </w:r>
      <w:r>
        <w:rPr>
          <w:rFonts w:cs="Arial" w:ascii="Roboto" w:hAnsi="Roboto"/>
          <w:bCs/>
          <w:lang w:val="en-GB" w:eastAsia="en-US"/>
        </w:rPr>
        <w:t>: Ινστιτούτο Τεχνολογίας Υπολογιστών και Εκδόσεων (ΙΤΥE - ΔΙΟΦΑΝΤΟΣ)</w:t>
      </w:r>
    </w:p>
    <w:p>
      <w:pPr>
        <w:pStyle w:val="Normal"/>
        <w:spacing w:lineRule="auto" w:line="360" w:before="0" w:after="120"/>
        <w:ind w:start="459" w:end="0"/>
        <w:rPr>
          <w:rFonts w:ascii="Roboto" w:hAnsi="Roboto" w:cs="Arial"/>
          <w:bCs/>
          <w:lang w:val="it-IT" w:eastAsia="en-US"/>
        </w:rPr>
      </w:pPr>
      <w:r>
        <w:rPr>
          <w:rFonts w:cs="Arial" w:ascii="Roboto" w:hAnsi="Roboto"/>
          <w:bCs/>
          <w:lang w:val="it-IT" w:eastAsia="en-US"/>
        </w:rPr>
        <w:t>etwinning.gr</w:t>
      </w:r>
    </w:p>
    <w:p>
      <w:pPr>
        <w:pStyle w:val="Normal"/>
        <w:spacing w:lineRule="auto" w:line="240" w:before="0" w:after="80"/>
        <w:rPr>
          <w:rFonts w:ascii="Roboto" w:hAnsi="Roboto" w:cs="Arial"/>
          <w:bCs/>
          <w:lang w:val="it-IT" w:eastAsia="en-US"/>
        </w:rPr>
      </w:pPr>
      <w:r>
        <w:rPr>
          <w:rFonts w:cs="Arial" w:ascii="Roboto" w:hAnsi="Roboto"/>
          <w:b/>
          <w:color w:val="0A9687"/>
          <w:lang w:val="it-IT"/>
        </w:rPr>
        <w:t>Portugal</w:t>
      </w:r>
      <w:r>
        <w:rPr>
          <w:rFonts w:cs="Arial" w:ascii="Roboto" w:hAnsi="Roboto"/>
          <w:bCs/>
          <w:lang w:val="it-IT" w:eastAsia="en-US"/>
        </w:rPr>
        <w:t>: Direção-Geral da Educação – Ministério da Educação e Ciência</w:t>
      </w:r>
    </w:p>
    <w:p>
      <w:pPr>
        <w:pStyle w:val="Normal"/>
        <w:spacing w:lineRule="auto" w:line="360" w:before="0" w:after="120"/>
        <w:ind w:start="459" w:end="0"/>
        <w:rPr>
          <w:rFonts w:ascii="Roboto" w:hAnsi="Roboto" w:cs="Arial"/>
          <w:bCs/>
          <w:lang w:val="it-IT" w:eastAsia="en-US"/>
        </w:rPr>
      </w:pPr>
      <w:r>
        <w:rPr>
          <w:rFonts w:cs="Arial" w:ascii="Roboto" w:hAnsi="Roboto"/>
          <w:bCs/>
          <w:lang w:val="it-IT" w:eastAsia="en-US"/>
        </w:rPr>
        <w:t>etwinning.dge.mec.pt</w:t>
      </w:r>
    </w:p>
    <w:p>
      <w:pPr>
        <w:pStyle w:val="Normal"/>
        <w:spacing w:lineRule="auto" w:line="240" w:before="0" w:after="80"/>
        <w:rPr>
          <w:rFonts w:ascii="Roboto" w:hAnsi="Roboto" w:cs="Arial"/>
          <w:bCs/>
          <w:lang w:val="it-IT" w:eastAsia="en-US"/>
        </w:rPr>
      </w:pPr>
      <w:r>
        <w:rPr>
          <w:rFonts w:cs="Arial" w:ascii="Roboto" w:hAnsi="Roboto"/>
          <w:b/>
          <w:color w:val="0A9687"/>
          <w:lang w:val="it-IT"/>
        </w:rPr>
        <w:t>Romania</w:t>
      </w:r>
      <w:r>
        <w:rPr>
          <w:rFonts w:cs="Arial" w:ascii="Roboto" w:hAnsi="Roboto"/>
          <w:bCs/>
          <w:lang w:val="it-IT" w:eastAsia="en-US"/>
        </w:rPr>
        <w:t>: Institutul de Științe ale Educației</w:t>
      </w:r>
    </w:p>
    <w:p>
      <w:pPr>
        <w:pStyle w:val="Normal"/>
        <w:spacing w:lineRule="auto" w:line="360" w:before="0" w:after="120"/>
        <w:ind w:start="459" w:end="0"/>
        <w:rPr>
          <w:rFonts w:ascii="Roboto" w:hAnsi="Roboto" w:cs="Arial"/>
          <w:bCs/>
          <w:lang w:val="it-IT" w:eastAsia="en-US"/>
        </w:rPr>
      </w:pPr>
      <w:r>
        <w:rPr>
          <w:rFonts w:cs="Arial" w:ascii="Roboto" w:hAnsi="Roboto"/>
          <w:bCs/>
          <w:lang w:val="it-IT" w:eastAsia="en-US"/>
        </w:rPr>
        <w:t>etwinning.ro</w:t>
      </w:r>
    </w:p>
    <w:p>
      <w:pPr>
        <w:pStyle w:val="Normal"/>
        <w:spacing w:lineRule="auto" w:line="240" w:before="0" w:after="80"/>
        <w:rPr>
          <w:rFonts w:ascii="Roboto" w:hAnsi="Roboto" w:cs="Arial"/>
          <w:bCs/>
          <w:lang w:val="it-IT" w:eastAsia="en-US"/>
        </w:rPr>
      </w:pPr>
      <w:r>
        <w:rPr>
          <w:rFonts w:cs="Arial" w:ascii="Roboto" w:hAnsi="Roboto"/>
          <w:b/>
          <w:color w:val="0A9687"/>
          <w:lang w:val="it-IT"/>
        </w:rPr>
        <w:t>Germany</w:t>
      </w:r>
      <w:r>
        <w:rPr>
          <w:rFonts w:cs="Arial" w:ascii="Roboto" w:hAnsi="Roboto"/>
          <w:bCs/>
          <w:lang w:val="it-IT" w:eastAsia="en-US"/>
        </w:rPr>
        <w:t>: Pädagogischer Austauschdienst des Sekretariats der Kultusministerkonferenz</w:t>
      </w:r>
    </w:p>
    <w:p>
      <w:pPr>
        <w:pStyle w:val="Normal"/>
        <w:spacing w:lineRule="auto" w:line="360" w:before="0" w:after="120"/>
        <w:ind w:start="459" w:end="0"/>
        <w:rPr>
          <w:rFonts w:ascii="Roboto" w:hAnsi="Roboto" w:cs="Arial"/>
          <w:bCs/>
          <w:lang w:val="en-GB" w:eastAsia="en-US"/>
        </w:rPr>
      </w:pPr>
      <w:r>
        <w:rPr>
          <w:rFonts w:cs="Arial" w:ascii="Roboto" w:hAnsi="Roboto"/>
          <w:bCs/>
          <w:lang w:val="en-GB" w:eastAsia="en-US"/>
        </w:rPr>
        <w:t>etwinning.de</w:t>
      </w:r>
    </w:p>
    <w:p>
      <w:pPr>
        <w:pStyle w:val="Normal"/>
        <w:spacing w:lineRule="auto" w:line="240" w:before="120" w:after="120"/>
        <w:rPr>
          <w:rFonts w:ascii="Roboto" w:hAnsi="Roboto" w:cs="Arial"/>
          <w:b/>
          <w:color w:val="E36C0A"/>
          <w:lang w:val="en-GB"/>
        </w:rPr>
      </w:pPr>
      <w:r>
        <w:rPr>
          <w:rFonts w:cs="Arial" w:ascii="Roboto" w:hAnsi="Roboto"/>
          <w:b/>
          <w:color w:val="E36C0A"/>
          <w:lang w:val="en-GB"/>
        </w:rPr>
        <w:t>Selection of resources on eTwinning pedagogy (in English):</w:t>
      </w:r>
    </w:p>
    <w:p>
      <w:pPr>
        <w:pStyle w:val="Normal"/>
        <w:spacing w:lineRule="auto" w:line="240" w:before="0" w:after="120"/>
        <w:ind w:hanging="567" w:start="567" w:end="0"/>
        <w:rPr>
          <w:rFonts w:ascii="Roboto" w:hAnsi="Roboto" w:cs="Arial"/>
          <w:bCs/>
          <w:lang w:val="en-GB" w:eastAsia="en-US"/>
        </w:rPr>
      </w:pPr>
      <w:r>
        <w:rPr>
          <w:rFonts w:cs="Arial" w:ascii="Roboto" w:hAnsi="Roboto"/>
          <w:bCs/>
          <w:lang w:val="en-GB" w:eastAsia="en-US"/>
        </w:rPr>
        <w:t xml:space="preserve">Vuorikari R., Kampylis P., Scimeca S., Punie Y. (2015) Scaling Up Teacher Networks Across and Within European Schools: The Case of eTwinning. In: Looi CK., Teh L. (eds) </w:t>
      </w:r>
      <w:r>
        <w:rPr>
          <w:rFonts w:cs="Arial" w:ascii="Roboto" w:hAnsi="Roboto"/>
          <w:bCs/>
          <w:i/>
          <w:iCs/>
          <w:lang w:val="en-GB" w:eastAsia="en-US"/>
        </w:rPr>
        <w:t>Scaling Educational Innovations. Education Innovation Series</w:t>
      </w:r>
      <w:r>
        <w:rPr>
          <w:rFonts w:cs="Arial" w:ascii="Roboto" w:hAnsi="Roboto"/>
          <w:bCs/>
          <w:lang w:val="en-GB" w:eastAsia="en-US"/>
        </w:rPr>
        <w:t xml:space="preserve">. Springer, Singapore. DOI </w:t>
      </w:r>
      <w:hyperlink r:id="rId5">
        <w:r>
          <w:rPr>
            <w:rStyle w:val="Hyperlink"/>
            <w:rFonts w:cs="Arial" w:ascii="Roboto" w:hAnsi="Roboto"/>
            <w:bCs/>
            <w:lang w:val="en-GB" w:eastAsia="en-US"/>
          </w:rPr>
          <w:t>https://doi.org/10.1007/978-981-287-537-2_11</w:t>
        </w:r>
      </w:hyperlink>
      <w:r>
        <w:rPr>
          <w:rFonts w:cs="Arial" w:ascii="Roboto" w:hAnsi="Roboto"/>
          <w:bCs/>
          <w:lang w:val="en-GB" w:eastAsia="en-US"/>
        </w:rPr>
        <w:t xml:space="preserve"> </w:t>
      </w:r>
    </w:p>
    <w:p>
      <w:pPr>
        <w:pStyle w:val="Normal"/>
        <w:spacing w:lineRule="auto" w:line="240" w:before="0" w:after="120"/>
        <w:ind w:hanging="567" w:start="567" w:end="0"/>
        <w:rPr>
          <w:rFonts w:ascii="Roboto" w:hAnsi="Roboto" w:cs="Arial"/>
          <w:bCs/>
          <w:lang w:val="en-GB" w:eastAsia="en-US"/>
        </w:rPr>
      </w:pPr>
      <w:r>
        <w:rPr>
          <w:rFonts w:cs="Arial" w:ascii="Roboto" w:hAnsi="Roboto"/>
          <w:bCs/>
          <w:lang w:val="en-GB" w:eastAsia="en-US"/>
        </w:rPr>
        <w:t xml:space="preserve">Akdemir, Ahmet Selçuk (2017) eTwinning in Language Learning: The Perspectives of Successful Teachers. In: </w:t>
      </w:r>
      <w:r>
        <w:rPr>
          <w:rFonts w:cs="Arial" w:ascii="Roboto" w:hAnsi="Roboto"/>
          <w:bCs/>
          <w:i/>
          <w:iCs/>
          <w:lang w:val="en-GB" w:eastAsia="en-US"/>
        </w:rPr>
        <w:t>Journal of Education and Practice</w:t>
      </w:r>
      <w:r>
        <w:rPr>
          <w:rFonts w:cs="Arial" w:ascii="Roboto" w:hAnsi="Roboto"/>
          <w:bCs/>
          <w:lang w:val="en-GB" w:eastAsia="en-US"/>
        </w:rPr>
        <w:t xml:space="preserve">, v8 n10 p182-190. </w:t>
      </w:r>
      <w:hyperlink r:id="rId6">
        <w:r>
          <w:rPr>
            <w:rStyle w:val="Hyperlink"/>
            <w:rFonts w:cs="Arial" w:ascii="Roboto" w:hAnsi="Roboto"/>
            <w:bCs/>
            <w:lang w:val="en-GB" w:eastAsia="en-US"/>
          </w:rPr>
          <w:t>https://files.eric.ed.gov/fulltext/EJ1139836.pdf</w:t>
        </w:r>
      </w:hyperlink>
    </w:p>
    <w:p>
      <w:pPr>
        <w:pStyle w:val="Normal"/>
        <w:spacing w:lineRule="auto" w:line="240" w:before="0" w:after="120"/>
        <w:ind w:hanging="567" w:start="567" w:end="0"/>
        <w:rPr>
          <w:rFonts w:ascii="Roboto" w:hAnsi="Roboto" w:cs="Arial"/>
          <w:bCs/>
          <w:lang w:val="en-GB" w:eastAsia="en-US"/>
        </w:rPr>
      </w:pPr>
      <w:r>
        <w:rPr>
          <w:rFonts w:cs="Arial" w:ascii="Roboto" w:hAnsi="Roboto"/>
          <w:bCs/>
          <w:lang w:val="en-GB" w:eastAsia="en-US"/>
        </w:rPr>
        <w:t xml:space="preserve">Velea, Luciana-Simona (2016) Learning Quality Assurance of Schools` Collaborative Online Projects. In: Conference proceedings of »eLearning and Software for Education« (eLSE), vol.2: p280-285. </w:t>
      </w:r>
      <w:hyperlink r:id="rId7">
        <w:r>
          <w:rPr>
            <w:rStyle w:val="Hyperlink"/>
            <w:rFonts w:cs="Arial" w:ascii="Roboto" w:hAnsi="Roboto"/>
            <w:bCs/>
            <w:lang w:val="en-GB" w:eastAsia="en-US"/>
          </w:rPr>
          <w:t>https://www.ceeol.com/search/article-detail?id=523330</w:t>
        </w:r>
      </w:hyperlink>
      <w:r>
        <w:rPr>
          <w:rFonts w:cs="Arial" w:ascii="Roboto" w:hAnsi="Roboto"/>
          <w:bCs/>
          <w:lang w:val="en-GB" w:eastAsia="en-US"/>
        </w:rPr>
        <w:t xml:space="preserve"> DOI 10.12753/2066-026X-16-127</w:t>
      </w:r>
    </w:p>
    <w:p>
      <w:pPr>
        <w:pStyle w:val="Normal"/>
        <w:spacing w:lineRule="auto" w:line="240" w:before="0" w:after="120"/>
        <w:ind w:hanging="567" w:start="567" w:end="0"/>
        <w:rPr>
          <w:rFonts w:ascii="Roboto" w:hAnsi="Roboto" w:cs="Arial"/>
          <w:bCs/>
          <w:lang w:val="en-GB" w:eastAsia="en-US"/>
        </w:rPr>
      </w:pPr>
      <w:r>
        <w:rPr>
          <w:rFonts w:cs="Arial" w:ascii="Roboto" w:hAnsi="Roboto"/>
          <w:bCs/>
          <w:lang w:val="en-GB" w:eastAsia="en-US"/>
        </w:rPr>
        <w:t xml:space="preserve">Heindl, Manuela (2018) Determining factors in the European classroom with eTwinning when inquiry-based learning. In: </w:t>
      </w:r>
      <w:r>
        <w:rPr>
          <w:rFonts w:cs="Arial" w:ascii="Roboto" w:hAnsi="Roboto"/>
          <w:bCs/>
          <w:i/>
          <w:iCs/>
          <w:lang w:val="en-GB" w:eastAsia="en-US"/>
        </w:rPr>
        <w:t>International Journal of Teaching and Case Studies</w:t>
      </w:r>
      <w:r>
        <w:rPr>
          <w:rFonts w:cs="Arial" w:ascii="Roboto" w:hAnsi="Roboto"/>
          <w:bCs/>
          <w:lang w:val="en-GB" w:eastAsia="en-US"/>
        </w:rPr>
        <w:t xml:space="preserve">. DOI </w:t>
      </w:r>
      <w:hyperlink r:id="rId8">
        <w:r>
          <w:rPr>
            <w:rStyle w:val="Hyperlink"/>
            <w:rFonts w:cs="Arial" w:ascii="Roboto" w:hAnsi="Roboto"/>
            <w:bCs/>
            <w:lang w:val="en-GB" w:eastAsia="en-US"/>
          </w:rPr>
          <w:t>https://doi.org/10.1504/IJTCS.2018.090962</w:t>
        </w:r>
      </w:hyperlink>
      <w:r>
        <w:rPr>
          <w:rFonts w:cs="Arial" w:ascii="Roboto" w:hAnsi="Roboto"/>
          <w:bCs/>
          <w:lang w:val="en-GB" w:eastAsia="en-US"/>
        </w:rPr>
        <w:t xml:space="preserve"> </w:t>
      </w:r>
    </w:p>
    <w:p>
      <w:pPr>
        <w:pStyle w:val="Normal"/>
        <w:spacing w:lineRule="auto" w:line="240" w:before="0" w:after="120"/>
        <w:ind w:hanging="567" w:start="567" w:end="0"/>
        <w:rPr>
          <w:rStyle w:val="Hyperlink"/>
          <w:rFonts w:ascii="Roboto" w:hAnsi="Roboto" w:cs="Arial"/>
          <w:bCs/>
          <w:lang w:val="en-GB" w:eastAsia="en-US"/>
        </w:rPr>
      </w:pPr>
      <w:r>
        <w:rPr>
          <w:rFonts w:cs="Arial" w:ascii="Roboto" w:hAnsi="Roboto"/>
          <w:bCs/>
          <w:lang w:val="en-GB" w:eastAsia="en-US"/>
        </w:rPr>
        <w:t xml:space="preserve">Gajek, Elżbieta (2018) Curriculum Integration in Distance Learning at Primary and Secondary Educational Levels on the Example of eTwinning Projects. In: </w:t>
      </w:r>
      <w:r>
        <w:rPr>
          <w:rFonts w:cs="Arial" w:ascii="Roboto" w:hAnsi="Roboto"/>
          <w:bCs/>
          <w:i/>
          <w:iCs/>
          <w:lang w:val="en-GB" w:eastAsia="en-US"/>
        </w:rPr>
        <w:t>Educ. Sci.</w:t>
      </w:r>
      <w:r>
        <w:rPr>
          <w:rFonts w:cs="Arial" w:ascii="Roboto" w:hAnsi="Roboto"/>
          <w:bCs/>
          <w:lang w:val="en-GB" w:eastAsia="en-US"/>
        </w:rPr>
        <w:t xml:space="preserve"> 8, no. 1: 1. DOI </w:t>
      </w:r>
      <w:hyperlink r:id="rId9">
        <w:r>
          <w:rPr>
            <w:rStyle w:val="Hyperlink"/>
            <w:rFonts w:cs="Arial" w:ascii="Roboto" w:hAnsi="Roboto"/>
            <w:bCs/>
            <w:lang w:val="en-GB" w:eastAsia="en-US"/>
          </w:rPr>
          <w:t>https://doi.org/10.3390/educsci8010001</w:t>
        </w:r>
      </w:hyperlink>
      <w:r>
        <w:rPr>
          <w:rFonts w:cs="Arial" w:ascii="Roboto" w:hAnsi="Roboto"/>
          <w:bCs/>
          <w:lang w:val="en-GB" w:eastAsia="en-US"/>
        </w:rPr>
        <w:t xml:space="preserve"> </w:t>
      </w:r>
    </w:p>
    <w:p>
      <w:pPr>
        <w:pStyle w:val="Normal"/>
        <w:rPr>
          <w:rStyle w:val="Hyperlink"/>
          <w:rFonts w:ascii="Roboto" w:hAnsi="Roboto" w:cs="Arial"/>
          <w:bCs/>
          <w:lang w:val="en-GB" w:eastAsia="en-US"/>
        </w:rPr>
      </w:pPr>
      <w:r>
        <w:rPr/>
      </w:r>
    </w:p>
    <w:p>
      <w:pPr>
        <w:pStyle w:val="Normal"/>
        <w:rPr>
          <w:rFonts w:ascii="Roboto" w:hAnsi="Roboto" w:cs="Arial"/>
          <w:lang w:val="en-GB" w:eastAsia="en-US"/>
        </w:rPr>
      </w:pPr>
      <w:r>
        <w:rPr>
          <w:rFonts w:cs="Arial" w:ascii="Roboto" w:hAnsi="Roboto"/>
          <w:lang w:val="en-GB" w:eastAsia="en-US"/>
        </w:rPr>
      </w:r>
    </w:p>
    <w:p>
      <w:pPr>
        <w:pStyle w:val="Normal"/>
        <w:rPr>
          <w:rFonts w:ascii="Roboto" w:hAnsi="Roboto" w:cs="Arial"/>
          <w:lang w:val="en-GB" w:eastAsia="en-US"/>
        </w:rPr>
      </w:pPr>
      <w:r>
        <w:rPr>
          <w:rFonts w:cs="Arial" w:ascii="Roboto" w:hAnsi="Roboto"/>
          <w:lang w:val="en-GB" w:eastAsia="en-US"/>
        </w:rPr>
      </w:r>
    </w:p>
    <w:p>
      <w:pPr>
        <w:pStyle w:val="Normal"/>
        <w:rPr>
          <w:rFonts w:ascii="Roboto" w:hAnsi="Roboto" w:cs="Arial"/>
          <w:lang w:val="en-GB" w:eastAsia="en-US"/>
        </w:rPr>
      </w:pPr>
      <w:r>
        <w:rPr>
          <w:rFonts w:cs="Arial" w:ascii="Roboto" w:hAnsi="Roboto"/>
          <w:lang w:val="en-GB" w:eastAsia="en-US"/>
        </w:rPr>
      </w:r>
    </w:p>
    <w:p>
      <w:pPr>
        <w:pStyle w:val="Normal"/>
        <w:rPr>
          <w:rFonts w:ascii="Roboto" w:hAnsi="Roboto" w:cs="Arial"/>
          <w:lang w:val="en-GB" w:eastAsia="en-US"/>
        </w:rPr>
      </w:pPr>
      <w:r>
        <w:rPr>
          <w:rFonts w:cs="Arial" w:ascii="Roboto" w:hAnsi="Roboto"/>
          <w:lang w:val="en-GB" w:eastAsia="en-US"/>
        </w:rPr>
      </w:r>
    </w:p>
    <w:p>
      <w:pPr>
        <w:pStyle w:val="Normal"/>
        <w:rPr>
          <w:rStyle w:val="Hyperlink"/>
          <w:rFonts w:ascii="Roboto" w:hAnsi="Roboto" w:cs="Arial"/>
          <w:bCs/>
          <w:lang w:val="en-GB" w:eastAsia="en-US"/>
        </w:rPr>
      </w:pPr>
      <w:r>
        <w:rPr>
          <w:rFonts w:cs="Roboto" w:ascii="Roboto" w:hAnsi="Roboto"/>
          <w:lang w:val="en-GB" w:eastAsia="en-US"/>
        </w:rPr>
      </w:r>
    </w:p>
    <w:p>
      <w:pPr>
        <w:pStyle w:val="Normal"/>
        <w:spacing w:lineRule="auto" w:line="254"/>
        <w:jc w:val="center"/>
        <w:rPr>
          <w:rStyle w:val="Hyperlink"/>
          <w:rFonts w:ascii="Roboto" w:hAnsi="Roboto" w:eastAsia="Roboto" w:cs="Roboto"/>
          <w:bCs/>
          <w:color w:val="000000"/>
          <w:sz w:val="16"/>
          <w:szCs w:val="16"/>
          <w:lang w:val="en-GB" w:eastAsia="ja-JP"/>
        </w:rPr>
      </w:pPr>
      <w:r>
        <w:rPr/>
      </w:r>
    </w:p>
    <w:p>
      <w:pPr>
        <w:pStyle w:val="Normal"/>
        <w:spacing w:lineRule="auto" w:line="254"/>
        <w:jc w:val="center"/>
        <w:rPr>
          <w:rFonts w:ascii="Roboto" w:hAnsi="Roboto" w:eastAsia="Roboto" w:cs="Roboto"/>
          <w:color w:val="000000"/>
          <w:sz w:val="16"/>
          <w:szCs w:val="16"/>
          <w:lang w:eastAsia="ja-JP"/>
        </w:rPr>
      </w:pPr>
      <w:r>
        <w:rPr>
          <w:rFonts w:eastAsia="Roboto" w:cs="Roboto" w:ascii="Roboto" w:hAnsi="Roboto"/>
          <w:color w:val="000000"/>
          <w:sz w:val="16"/>
          <w:szCs w:val="16"/>
          <w:lang w:eastAsia="ja-JP"/>
        </w:rPr>
      </w:r>
    </w:p>
    <w:p>
      <w:pPr>
        <w:pStyle w:val="Normal"/>
        <w:spacing w:lineRule="auto" w:line="254"/>
        <w:jc w:val="center"/>
        <w:rPr>
          <w:rFonts w:ascii="Roboto" w:hAnsi="Roboto" w:eastAsia="Roboto" w:cs="Roboto"/>
          <w:color w:val="000000"/>
          <w:sz w:val="16"/>
          <w:szCs w:val="16"/>
          <w:lang w:eastAsia="ja-JP"/>
        </w:rPr>
      </w:pPr>
      <w:r>
        <w:rPr>
          <w:rFonts w:eastAsia="Roboto" w:cs="Roboto" w:ascii="Roboto" w:hAnsi="Roboto"/>
          <w:color w:val="000000"/>
          <w:sz w:val="16"/>
          <w:szCs w:val="16"/>
          <w:lang w:eastAsia="ja-JP"/>
        </w:rPr>
      </w:r>
    </w:p>
    <w:p>
      <w:pPr>
        <w:pStyle w:val="Normal"/>
        <w:spacing w:lineRule="auto" w:line="254"/>
        <w:jc w:val="center"/>
        <w:rPr>
          <w:rFonts w:ascii="Roboto" w:hAnsi="Roboto" w:eastAsia="Roboto" w:cs="Roboto"/>
          <w:color w:val="000000"/>
          <w:sz w:val="16"/>
          <w:szCs w:val="16"/>
          <w:lang w:eastAsia="ja-JP"/>
        </w:rPr>
      </w:pPr>
      <w:r>
        <w:rPr>
          <w:rFonts w:eastAsia="Roboto" w:cs="Roboto" w:ascii="Roboto" w:hAnsi="Roboto"/>
          <w:color w:val="000000"/>
          <w:sz w:val="16"/>
          <w:szCs w:val="16"/>
          <w:lang w:eastAsia="ja-JP"/>
        </w:rPr>
      </w:r>
    </w:p>
    <w:p>
      <w:pPr>
        <w:pStyle w:val="Normal"/>
        <w:spacing w:lineRule="auto" w:line="254"/>
        <w:jc w:val="center"/>
        <w:rPr>
          <w:rFonts w:ascii="Roboto" w:hAnsi="Roboto" w:eastAsia="Roboto" w:cs="Roboto"/>
          <w:color w:val="000000"/>
          <w:sz w:val="16"/>
          <w:szCs w:val="16"/>
          <w:lang w:eastAsia="ja-JP"/>
        </w:rPr>
      </w:pPr>
      <w:r>
        <w:rPr>
          <w:rFonts w:eastAsia="Roboto" w:cs="Roboto" w:ascii="Roboto" w:hAnsi="Roboto"/>
          <w:color w:val="000000"/>
          <w:sz w:val="16"/>
          <w:szCs w:val="16"/>
          <w:lang w:eastAsia="ja-JP"/>
        </w:rPr>
      </w:r>
    </w:p>
    <w:p>
      <w:pPr>
        <w:pStyle w:val="Normal"/>
        <w:spacing w:lineRule="auto" w:line="254"/>
        <w:jc w:val="center"/>
        <w:rPr>
          <w:rFonts w:ascii="Roboto" w:hAnsi="Roboto" w:eastAsia="Roboto" w:cs="Roboto"/>
          <w:color w:val="000000"/>
          <w:sz w:val="16"/>
          <w:szCs w:val="16"/>
          <w:lang w:eastAsia="ja-JP"/>
        </w:rPr>
      </w:pPr>
      <w:r>
        <w:rPr>
          <w:rFonts w:eastAsia="Roboto" w:cs="Roboto" w:ascii="Roboto" w:hAnsi="Roboto"/>
          <w:color w:val="000000"/>
          <w:sz w:val="16"/>
          <w:szCs w:val="16"/>
          <w:lang w:eastAsia="ja-JP"/>
        </w:rPr>
      </w:r>
    </w:p>
    <w:p>
      <w:pPr>
        <w:pStyle w:val="Normal"/>
        <w:spacing w:lineRule="auto" w:line="254"/>
        <w:jc w:val="center"/>
        <w:rPr>
          <w:rFonts w:ascii="Roboto" w:hAnsi="Roboto" w:eastAsia="Roboto" w:cs="Roboto"/>
          <w:color w:val="000000"/>
          <w:sz w:val="16"/>
          <w:szCs w:val="16"/>
          <w:lang w:eastAsia="ja-JP"/>
        </w:rPr>
      </w:pPr>
      <w:r>
        <w:rPr>
          <w:rFonts w:eastAsia="Roboto" w:cs="Roboto" w:ascii="Roboto" w:hAnsi="Roboto"/>
          <w:color w:val="000000"/>
          <w:sz w:val="16"/>
          <w:szCs w:val="16"/>
          <w:lang w:eastAsia="ja-JP"/>
        </w:rPr>
      </w:r>
    </w:p>
    <w:p>
      <w:pPr>
        <w:pStyle w:val="Normal"/>
        <w:spacing w:lineRule="auto" w:line="254"/>
        <w:jc w:val="center"/>
        <w:rPr>
          <w:rFonts w:ascii="Roboto" w:hAnsi="Roboto" w:eastAsia="Roboto" w:cs="Roboto"/>
          <w:color w:val="000000"/>
          <w:sz w:val="16"/>
          <w:szCs w:val="16"/>
          <w:lang w:eastAsia="ja-JP"/>
        </w:rPr>
      </w:pPr>
      <w:r>
        <w:rPr>
          <w:rFonts w:eastAsia="Roboto" w:cs="Roboto" w:ascii="Roboto" w:hAnsi="Roboto"/>
          <w:color w:val="000000"/>
          <w:sz w:val="16"/>
          <w:szCs w:val="16"/>
          <w:lang w:eastAsia="ja-JP"/>
        </w:rPr>
      </w:r>
    </w:p>
    <w:p>
      <w:pPr>
        <w:pStyle w:val="Normal"/>
        <w:spacing w:lineRule="auto" w:line="254"/>
        <w:jc w:val="center"/>
        <w:rPr>
          <w:rFonts w:ascii="Roboto" w:hAnsi="Roboto" w:eastAsia="Roboto" w:cs="Roboto"/>
          <w:color w:val="000000"/>
          <w:sz w:val="16"/>
          <w:szCs w:val="16"/>
          <w:lang w:eastAsia="ja-JP"/>
        </w:rPr>
      </w:pPr>
      <w:r>
        <w:rPr>
          <w:rFonts w:eastAsia="Roboto" w:cs="Roboto" w:ascii="Roboto" w:hAnsi="Roboto"/>
          <w:color w:val="000000"/>
          <w:sz w:val="16"/>
          <w:szCs w:val="16"/>
          <w:lang w:eastAsia="ja-JP"/>
        </w:rPr>
      </w:r>
    </w:p>
    <w:p>
      <w:pPr>
        <w:pStyle w:val="Normal"/>
        <w:spacing w:lineRule="auto" w:line="254"/>
        <w:jc w:val="center"/>
        <w:rPr>
          <w:rFonts w:ascii="Roboto" w:hAnsi="Roboto" w:eastAsia="Roboto" w:cs="Roboto"/>
          <w:color w:val="000000"/>
          <w:sz w:val="16"/>
          <w:szCs w:val="16"/>
          <w:lang w:eastAsia="ja-JP"/>
        </w:rPr>
      </w:pPr>
      <w:r>
        <w:rPr>
          <w:rFonts w:eastAsia="Roboto" w:cs="Roboto" w:ascii="Roboto" w:hAnsi="Roboto"/>
          <w:color w:val="000000"/>
          <w:sz w:val="16"/>
          <w:szCs w:val="16"/>
          <w:lang w:eastAsia="ja-JP"/>
        </w:rPr>
      </w:r>
    </w:p>
    <w:p>
      <w:pPr>
        <w:pStyle w:val="Normal"/>
        <w:spacing w:lineRule="auto" w:line="254"/>
        <w:jc w:val="center"/>
        <w:rPr>
          <w:rFonts w:ascii="Roboto" w:hAnsi="Roboto" w:eastAsia="Roboto" w:cs="Roboto"/>
          <w:color w:val="000000"/>
          <w:sz w:val="16"/>
          <w:szCs w:val="16"/>
          <w:lang w:eastAsia="ja-JP"/>
        </w:rPr>
      </w:pPr>
      <w:r>
        <w:rPr>
          <w:rFonts w:eastAsia="Roboto" w:cs="Roboto" w:ascii="Roboto" w:hAnsi="Roboto"/>
          <w:color w:val="000000"/>
          <w:sz w:val="16"/>
          <w:szCs w:val="16"/>
          <w:lang w:eastAsia="ja-JP"/>
        </w:rPr>
      </w:r>
    </w:p>
    <w:p>
      <w:pPr>
        <w:pStyle w:val="Normal"/>
        <w:spacing w:lineRule="auto" w:line="254"/>
        <w:jc w:val="center"/>
        <w:rPr>
          <w:rFonts w:ascii="Roboto" w:hAnsi="Roboto" w:eastAsia="Roboto" w:cs="Roboto"/>
          <w:color w:val="000000"/>
          <w:sz w:val="16"/>
          <w:szCs w:val="16"/>
          <w:lang w:eastAsia="ja-JP"/>
        </w:rPr>
      </w:pPr>
      <w:r>
        <w:rPr>
          <w:rFonts w:eastAsia="Roboto" w:cs="Roboto" w:ascii="Roboto" w:hAnsi="Roboto"/>
          <w:color w:val="000000"/>
          <w:sz w:val="16"/>
          <w:szCs w:val="16"/>
          <w:lang w:eastAsia="ja-JP"/>
        </w:rPr>
      </w:r>
    </w:p>
    <w:p>
      <w:pPr>
        <w:pStyle w:val="Normal"/>
        <w:spacing w:lineRule="auto" w:line="254"/>
        <w:jc w:val="center"/>
        <w:rPr>
          <w:rFonts w:ascii="Roboto" w:hAnsi="Roboto" w:eastAsia="Roboto" w:cs="Roboto"/>
          <w:color w:val="000000"/>
          <w:sz w:val="16"/>
          <w:szCs w:val="16"/>
          <w:lang w:eastAsia="ja-JP"/>
        </w:rPr>
      </w:pPr>
      <w:r>
        <w:rPr>
          <w:rFonts w:eastAsia="Roboto" w:cs="Roboto" w:ascii="Roboto" w:hAnsi="Roboto"/>
          <w:color w:val="000000"/>
          <w:sz w:val="16"/>
          <w:szCs w:val="16"/>
          <w:lang w:eastAsia="ja-JP"/>
        </w:rPr>
      </w:r>
    </w:p>
    <w:p>
      <w:pPr>
        <w:pStyle w:val="Normal"/>
        <w:spacing w:lineRule="auto" w:line="254"/>
        <w:jc w:val="center"/>
        <w:rPr>
          <w:rFonts w:ascii="Roboto" w:hAnsi="Roboto" w:eastAsia="Roboto" w:cs="Roboto"/>
          <w:color w:val="000000"/>
          <w:sz w:val="16"/>
          <w:szCs w:val="16"/>
          <w:lang w:eastAsia="ja-JP"/>
        </w:rPr>
      </w:pPr>
      <w:r>
        <w:rPr>
          <w:rFonts w:eastAsia="Roboto" w:cs="Roboto" w:ascii="Roboto" w:hAnsi="Roboto"/>
          <w:color w:val="000000"/>
          <w:sz w:val="16"/>
          <w:szCs w:val="16"/>
          <w:lang w:eastAsia="ja-JP"/>
        </w:rPr>
      </w:r>
    </w:p>
    <w:p>
      <w:pPr>
        <w:pStyle w:val="Normal"/>
        <w:spacing w:lineRule="auto" w:line="254"/>
        <w:jc w:val="center"/>
        <w:rPr>
          <w:rFonts w:ascii="Roboto" w:hAnsi="Roboto" w:eastAsia="Roboto" w:cs="Roboto"/>
          <w:color w:val="000000"/>
          <w:sz w:val="16"/>
          <w:szCs w:val="16"/>
          <w:lang w:eastAsia="ja-JP"/>
        </w:rPr>
      </w:pPr>
      <w:r>
        <w:rPr>
          <w:rFonts w:eastAsia="Roboto" w:cs="Roboto" w:ascii="Roboto" w:hAnsi="Roboto"/>
          <w:color w:val="000000"/>
          <w:sz w:val="16"/>
          <w:szCs w:val="16"/>
          <w:lang w:eastAsia="ja-JP"/>
        </w:rPr>
      </w:r>
    </w:p>
    <w:p>
      <w:pPr>
        <w:pStyle w:val="Normal"/>
        <w:spacing w:lineRule="auto" w:line="254"/>
        <w:jc w:val="center"/>
        <w:rPr>
          <w:rFonts w:ascii="Roboto" w:hAnsi="Roboto" w:eastAsia="Roboto" w:cs="Roboto"/>
          <w:color w:val="000000"/>
          <w:sz w:val="16"/>
          <w:szCs w:val="16"/>
          <w:lang w:eastAsia="ja-JP"/>
        </w:rPr>
      </w:pPr>
      <w:r>
        <w:rPr>
          <w:rFonts w:eastAsia="Roboto" w:cs="Roboto" w:ascii="Roboto" w:hAnsi="Roboto"/>
          <w:color w:val="000000"/>
          <w:sz w:val="16"/>
          <w:szCs w:val="16"/>
          <w:lang w:eastAsia="ja-JP"/>
        </w:rPr>
      </w:r>
    </w:p>
    <w:p>
      <w:pPr>
        <w:pStyle w:val="Normal"/>
        <w:spacing w:lineRule="auto" w:line="254"/>
        <w:jc w:val="center"/>
        <w:rPr>
          <w:rFonts w:ascii="Roboto" w:hAnsi="Roboto" w:eastAsia="Roboto" w:cs="Roboto"/>
          <w:color w:val="000000"/>
          <w:sz w:val="16"/>
          <w:szCs w:val="16"/>
          <w:lang w:eastAsia="ja-JP"/>
        </w:rPr>
      </w:pPr>
      <w:r>
        <w:rPr>
          <w:rFonts w:eastAsia="Roboto" w:cs="Roboto" w:ascii="Roboto" w:hAnsi="Roboto"/>
          <w:color w:val="000000"/>
          <w:sz w:val="16"/>
          <w:szCs w:val="16"/>
          <w:lang w:eastAsia="ja-JP"/>
        </w:rPr>
      </w:r>
    </w:p>
    <w:p>
      <w:pPr>
        <w:pStyle w:val="Normal"/>
        <w:spacing w:lineRule="auto" w:line="254"/>
        <w:jc w:val="center"/>
        <w:rPr>
          <w:rFonts w:ascii="Roboto" w:hAnsi="Roboto" w:eastAsia="Roboto" w:cs="Roboto"/>
          <w:color w:val="000000"/>
          <w:sz w:val="16"/>
          <w:szCs w:val="16"/>
          <w:lang w:eastAsia="ja-JP"/>
        </w:rPr>
      </w:pPr>
      <w:r>
        <w:rPr>
          <w:rFonts w:eastAsia="Roboto" w:cs="Roboto" w:ascii="Roboto" w:hAnsi="Roboto"/>
          <w:color w:val="000000"/>
          <w:sz w:val="16"/>
          <w:szCs w:val="16"/>
          <w:lang w:eastAsia="ja-JP"/>
        </w:rPr>
      </w:r>
    </w:p>
    <w:p>
      <w:pPr>
        <w:pStyle w:val="Normal"/>
        <w:spacing w:lineRule="auto" w:line="254"/>
        <w:jc w:val="center"/>
        <w:rPr>
          <w:rFonts w:ascii="Roboto" w:hAnsi="Roboto" w:eastAsia="Roboto" w:cs="Roboto"/>
          <w:color w:val="000000"/>
          <w:sz w:val="16"/>
          <w:szCs w:val="16"/>
          <w:lang w:eastAsia="ja-JP"/>
        </w:rPr>
      </w:pPr>
      <w:r>
        <w:rPr>
          <w:rFonts w:eastAsia="Roboto" w:cs="Roboto" w:ascii="Roboto" w:hAnsi="Roboto"/>
          <w:color w:val="000000"/>
          <w:sz w:val="16"/>
          <w:szCs w:val="16"/>
          <w:lang w:eastAsia="ja-JP"/>
        </w:rPr>
      </w:r>
    </w:p>
    <w:p>
      <w:pPr>
        <w:pStyle w:val="Normal"/>
        <w:spacing w:lineRule="auto" w:line="254"/>
        <w:jc w:val="center"/>
        <w:rPr>
          <w:rFonts w:ascii="Roboto" w:hAnsi="Roboto" w:eastAsia="Roboto" w:cs="Roboto"/>
          <w:color w:val="000000"/>
          <w:sz w:val="16"/>
          <w:szCs w:val="16"/>
          <w:lang w:eastAsia="ja-JP"/>
        </w:rPr>
      </w:pPr>
      <w:r>
        <w:rPr>
          <w:rFonts w:eastAsia="Roboto" w:cs="Roboto" w:ascii="Roboto" w:hAnsi="Roboto"/>
          <w:color w:val="000000"/>
          <w:sz w:val="16"/>
          <w:szCs w:val="16"/>
          <w:lang w:eastAsia="ja-JP"/>
        </w:rPr>
      </w:r>
    </w:p>
    <w:p>
      <w:pPr>
        <w:pStyle w:val="Normal"/>
        <w:spacing w:lineRule="auto" w:line="254"/>
        <w:jc w:val="center"/>
        <w:rPr>
          <w:rFonts w:ascii="Roboto" w:hAnsi="Roboto" w:eastAsia="Roboto" w:cs="Roboto"/>
          <w:color w:val="000000"/>
          <w:sz w:val="16"/>
          <w:szCs w:val="16"/>
          <w:lang w:eastAsia="ja-JP"/>
        </w:rPr>
      </w:pPr>
      <w:r>
        <w:rPr>
          <w:rFonts w:eastAsia="Roboto" w:cs="Roboto" w:ascii="Roboto" w:hAnsi="Roboto"/>
          <w:color w:val="000000"/>
          <w:sz w:val="16"/>
          <w:szCs w:val="16"/>
          <w:lang w:eastAsia="ja-JP"/>
        </w:rPr>
      </w:r>
    </w:p>
    <w:p>
      <w:pPr>
        <w:pStyle w:val="Normal"/>
        <w:spacing w:lineRule="auto" w:line="254"/>
        <w:jc w:val="center"/>
        <w:rPr>
          <w:rFonts w:ascii="Roboto" w:hAnsi="Roboto" w:eastAsia="Roboto" w:cs="Roboto"/>
          <w:color w:val="000000"/>
          <w:sz w:val="16"/>
          <w:szCs w:val="16"/>
          <w:lang w:eastAsia="ja-JP"/>
        </w:rPr>
      </w:pPr>
      <w:r>
        <w:rPr>
          <w:rFonts w:eastAsia="Roboto" w:cs="Roboto" w:ascii="Roboto" w:hAnsi="Roboto"/>
          <w:color w:val="000000"/>
          <w:sz w:val="16"/>
          <w:szCs w:val="16"/>
          <w:lang w:eastAsia="ja-JP"/>
        </w:rPr>
      </w:r>
    </w:p>
    <w:p>
      <w:pPr>
        <w:pStyle w:val="Normal"/>
        <w:spacing w:lineRule="auto" w:line="254"/>
        <w:jc w:val="center"/>
        <w:rPr>
          <w:sz w:val="16"/>
          <w:szCs w:val="16"/>
          <w:lang w:eastAsia="ja-JP"/>
        </w:rPr>
      </w:pPr>
      <w:r>
        <w:rPr>
          <w:rFonts w:eastAsia="Roboto" w:cs="Roboto" w:ascii="Roboto" w:hAnsi="Roboto"/>
          <w:color w:val="000000"/>
          <w:sz w:val="16"/>
          <w:szCs w:val="16"/>
          <w:lang w:eastAsia="ja-JP"/>
        </w:rPr>
        <w:t xml:space="preserve">Except where otherwise noted, this work is licensed under the Creative Commons Attribution 4.0 International License. To view a copy of this license, visit </w:t>
      </w:r>
      <w:r>
        <w:rPr>
          <w:rFonts w:eastAsia="Roboto" w:cs="Roboto" w:ascii="Roboto" w:hAnsi="Roboto"/>
          <w:color w:val="0563C1"/>
          <w:sz w:val="16"/>
          <w:szCs w:val="16"/>
          <w:u w:val="single"/>
          <w:lang w:eastAsia="ja-JP"/>
        </w:rPr>
        <w:t>http://creativecommons.org/licenses/by/4.0/</w:t>
      </w:r>
    </w:p>
    <w:p>
      <w:pPr>
        <w:pStyle w:val="Normal"/>
        <w:tabs>
          <w:tab w:val="clear" w:pos="720"/>
          <w:tab w:val="center" w:pos="4513" w:leader="none"/>
          <w:tab w:val="right" w:pos="9026" w:leader="none"/>
        </w:tabs>
        <w:spacing w:lineRule="auto" w:line="240" w:before="0" w:after="0"/>
        <w:jc w:val="center"/>
        <w:rPr>
          <w:rFonts w:ascii="Roboto" w:hAnsi="Roboto" w:eastAsia="Times New Roman" w:cs="Roboto"/>
          <w:sz w:val="16"/>
          <w:szCs w:val="16"/>
          <w:lang w:eastAsia="ja-JP"/>
        </w:rPr>
      </w:pPr>
      <w:r>
        <w:rPr>
          <w:rFonts w:eastAsia="Times New Roman" w:cs="Roboto" w:ascii="Roboto" w:hAnsi="Roboto"/>
          <w:sz w:val="16"/>
          <w:szCs w:val="16"/>
          <w:lang w:eastAsia="ja-JP"/>
        </w:rPr>
        <w:t>The PiCaM website and the project materials reflect the view of the author(s). The European Commission is not responsible for any use that may be made of the information it contains</w:t>
      </w:r>
    </w:p>
    <w:p>
      <w:pPr>
        <w:pStyle w:val="Normal"/>
        <w:tabs>
          <w:tab w:val="clear" w:pos="720"/>
          <w:tab w:val="left" w:pos="1575" w:leader="none"/>
        </w:tabs>
        <w:spacing w:before="0" w:after="160"/>
        <w:rPr>
          <w:rFonts w:ascii="Roboto" w:hAnsi="Roboto" w:cs="Arial"/>
          <w:lang w:val="en-GB" w:eastAsia="en-US"/>
        </w:rPr>
      </w:pPr>
      <w:r>
        <w:rPr>
          <w:rFonts w:cs="Arial" w:ascii="Roboto" w:hAnsi="Roboto"/>
          <w:lang w:val="en-GB" w:eastAsia="en-US"/>
        </w:rPr>
        <w:tab/>
      </w:r>
    </w:p>
    <w:sectPr>
      <w:headerReference w:type="default" r:id="rId10"/>
      <w:footerReference w:type="default" r:id="rId11"/>
      <w:type w:val="nextPage"/>
      <w:pgSz w:w="11906" w:h="16838"/>
      <w:pgMar w:left="993" w:right="707" w:gutter="0" w:header="708" w:top="1812" w:footer="1247" w:bottom="1440"/>
      <w:pgNumType w:fmt="decimal"/>
      <w:formProt w:val="false"/>
      <w:textDirection w:val="lrTb"/>
      <w:docGrid w:type="default" w:linePitch="360" w:charSpace="0"/>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Calibri">
    <w:charset w:val="00" w:characterSet="windows-1252"/>
    <w:family w:val="swiss"/>
    <w:pitch w:val="variable"/>
  </w:font>
  <w:font w:name="Courier New">
    <w:charset w:val="00" w:characterSet="windows-1252"/>
    <w:family w:val="modern"/>
    <w:pitch w:val="default"/>
  </w:font>
  <w:font w:name="Wingdings">
    <w:charset w:val="02"/>
    <w:family w:val="auto"/>
    <w:pitch w:val="variable"/>
  </w:font>
  <w:font w:name="Tahoma">
    <w:charset w:val="00" w:characterSet="windows-1252"/>
    <w:family w:val="swiss"/>
    <w:pitch w:val="variable"/>
  </w:font>
  <w:font w:name="Liberation Sans">
    <w:altName w:val="Arial"/>
    <w:charset w:val="01" w:characterSet="utf-8"/>
    <w:family w:val="swiss"/>
    <w:pitch w:val="variable"/>
  </w:font>
  <w:font w:name="Century Gothic">
    <w:charset w:val="00" w:characterSet="windows-1252"/>
    <w:family w:val="swiss"/>
    <w:pitch w:val="variable"/>
  </w:font>
  <w:font w:name="Roboto">
    <w:altName w:val="Times New Roman"/>
    <w:charset w:val="00" w:characterSet="windows-1252"/>
    <w:family w:val="auto"/>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jc w:val="center"/>
      <w:rPr>
        <w:lang w:val="de-DE" w:eastAsia="en-US"/>
      </w:rPr>
    </w:pPr>
    <w:r>
      <w:rPr>
        <w:lang w:val="de-DE" w:eastAsia="en-US"/>
      </w:rPr>
      <w:drawing>
        <wp:anchor behindDoc="1" distT="0" distB="0" distL="114935" distR="114935" simplePos="0" locked="0" layoutInCell="1" allowOverlap="1" relativeHeight="13">
          <wp:simplePos x="0" y="0"/>
          <wp:positionH relativeFrom="column">
            <wp:posOffset>491490</wp:posOffset>
          </wp:positionH>
          <wp:positionV relativeFrom="paragraph">
            <wp:posOffset>6985</wp:posOffset>
          </wp:positionV>
          <wp:extent cx="5471795" cy="752475"/>
          <wp:effectExtent l="0" t="0" r="0" b="0"/>
          <wp:wrapNone/>
          <wp:docPr id="6" name="Imagem1"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m1" descr="" title=""/>
                  <pic:cNvPicPr>
                    <a:picLocks noChangeAspect="1" noChangeArrowheads="1"/>
                  </pic:cNvPicPr>
                </pic:nvPicPr>
                <pic:blipFill>
                  <a:blip r:embed="rId1"/>
                  <a:srcRect l="-5" t="-38" r="-5" b="-38"/>
                  <a:stretch>
                    <a:fillRect/>
                  </a:stretch>
                </pic:blipFill>
                <pic:spPr bwMode="auto">
                  <a:xfrm>
                    <a:off x="0" y="0"/>
                    <a:ext cx="5471795" cy="752475"/>
                  </a:xfrm>
                  <a:prstGeom prst="rect">
                    <a:avLst/>
                  </a:prstGeom>
                </pic:spPr>
              </pic:pic>
            </a:graphicData>
          </a:graphic>
        </wp:anchor>
      </w:drawing>
    </w:r>
  </w:p>
</w:ftr>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tabs>
        <w:tab w:val="clear" w:pos="720"/>
        <w:tab w:val="right" w:pos="10206" w:leader="none"/>
      </w:tabs>
      <w:rPr>
        <w:lang w:val="en-US"/>
      </w:rPr>
    </w:pPr>
    <w:r>
      <mc:AlternateContent>
        <mc:Choice Requires="wpg">
          <w:drawing>
            <wp:anchor behindDoc="1" distT="0" distB="0" distL="114935" distR="114935" simplePos="0" locked="0" layoutInCell="0" allowOverlap="1" relativeHeight="5">
              <wp:simplePos x="0" y="0"/>
              <wp:positionH relativeFrom="margin">
                <wp:align>center</wp:align>
              </wp:positionH>
              <wp:positionV relativeFrom="page">
                <wp:posOffset>4474210</wp:posOffset>
              </wp:positionV>
              <wp:extent cx="488315" cy="237490"/>
              <wp:effectExtent l="0" t="3175" r="0" b="3810"/>
              <wp:wrapNone/>
              <wp:docPr id="2" name="Grupo1"/>
              <a:graphic xmlns:a="http://schemas.openxmlformats.org/drawingml/2006/main">
                <a:graphicData uri="http://schemas.microsoft.com/office/word/2010/wordprocessingGroup">
                  <wpg:wgp>
                    <wpg:cNvGrpSpPr/>
                    <wpg:grpSpPr>
                      <a:xfrm>
                        <a:off x="0" y="0"/>
                        <a:ext cx="488160" cy="237600"/>
                        <a:chOff x="0" y="0"/>
                        <a:chExt cx="488160" cy="237600"/>
                      </a:xfrm>
                    </wpg:grpSpPr>
                    <wps:wsp>
                      <wps:cNvSpPr txBox="1"/>
                      <wps:spPr>
                        <a:xfrm>
                          <a:off x="0" y="5040"/>
                          <a:ext cx="488160" cy="228600"/>
                        </a:xfrm>
                        <a:prstGeom prst="rect">
                          <a:avLst/>
                        </a:prstGeom>
                        <a:noFill/>
                        <a:ln w="0">
                          <a:noFill/>
                        </a:ln>
                      </wps:spPr>
                      <wps:txbx>
                        <w:txbxContent>
                          <w:p>
                            <w:pPr>
                              <w:overflowPunct w:val="false"/>
                              <w:bidi w:val="0"/>
                              <w:spacing w:before="0" w:after="0" w:lineRule="auto" w:line="240"/>
                              <w:jc w:val="center"/>
                              <w:rPr/>
                            </w:pPr>
                            <w:r>
                              <w:rPr>
                                <w:kern w:val="2"/>
                                <w:sz w:val="16"/>
                                <w:b/>
                                <w:szCs w:val="16"/>
                                <w:bCs/>
                                <w:rFonts w:ascii="Calibri" w:hAnsi="Calibri" w:eastAsia="Calibri" w:cs="Basic Roman"/>
                                <w:color w:val="3F3151"/>
                                <w:lang w:val="en-US" w:bidi="ar-SA"/>
                              </w:rPr>
                              <w:fldChar w:fldCharType="begin"/>
                            </w:r>
                            <w:r>
                              <w:rPr>
                                <w:kern w:val="2"/>
                                <w:sz w:val="16"/>
                                <w:b/>
                                <w:szCs w:val="16"/>
                                <w:bCs/>
                                <w:rFonts w:ascii="Calibri" w:hAnsi="Calibri" w:eastAsia="Calibri" w:cs="Basic Roman"/>
                                <w:color w:val="3F3151"/>
                                <w:lang w:val="en-US" w:bidi="ar-SA"/>
                              </w:rPr>
                              <w:instrText xml:space="preserve"> PAGE </w:instrText>
                            </w:r>
                            <w:r>
                              <w:rPr>
                                <w:kern w:val="2"/>
                                <w:sz w:val="16"/>
                                <w:b/>
                                <w:szCs w:val="16"/>
                                <w:bCs/>
                                <w:rFonts w:ascii="Calibri" w:hAnsi="Calibri" w:eastAsia="Calibri" w:cs="Basic Roman"/>
                                <w:color w:val="3F3151"/>
                                <w:lang w:val="en-US" w:bidi="ar-SA"/>
                              </w:rPr>
                              <w:fldChar w:fldCharType="separate"/>
                            </w:r>
                            <w:r>
                              <w:rPr>
                                <w:kern w:val="2"/>
                                <w:sz w:val="16"/>
                                <w:b/>
                                <w:szCs w:val="16"/>
                                <w:bCs/>
                                <w:rFonts w:ascii="Calibri" w:hAnsi="Calibri" w:eastAsia="Calibri" w:cs="Basic Roman"/>
                                <w:color w:val="3F3151"/>
                                <w:lang w:val="en-US" w:bidi="ar-SA"/>
                              </w:rPr>
                              <w:t>1</w:t>
                            </w:r>
                            <w:r>
                              <w:rPr>
                                <w:kern w:val="2"/>
                                <w:sz w:val="16"/>
                                <w:b/>
                                <w:szCs w:val="16"/>
                                <w:bCs/>
                                <w:rFonts w:ascii="Calibri" w:hAnsi="Calibri" w:eastAsia="Calibri" w:cs="Basic Roman"/>
                                <w:color w:val="3F3151"/>
                                <w:lang w:val="en-US" w:bidi="ar-SA"/>
                              </w:rPr>
                              <w:fldChar w:fldCharType="end"/>
                            </w:r>
                          </w:p>
                        </w:txbxContent>
                      </wps:txbx>
                      <wps:bodyPr wrap="square" lIns="0" rIns="0" tIns="0" bIns="0" anchor="ctr">
                        <a:noAutofit/>
                      </wps:bodyPr>
                    </wps:wsp>
                    <wpg:grpSp>
                      <wpg:cNvGrpSpPr/>
                      <wpg:grpSpPr>
                        <a:xfrm>
                          <a:off x="125640" y="0"/>
                          <a:ext cx="237600" cy="237600"/>
                        </a:xfrm>
                      </wpg:grpSpPr>
                      <wps:wsp>
                        <wps:cNvPr id="3" name="Oval 1028"/>
                        <wps:cNvSpPr/>
                        <wps:spPr>
                          <a:xfrm>
                            <a:off x="0" y="0"/>
                            <a:ext cx="237600" cy="237600"/>
                          </a:xfrm>
                          <a:prstGeom prst="ellipse">
                            <a:avLst/>
                          </a:prstGeom>
                          <a:noFill/>
                          <a:ln w="6480">
                            <a:solidFill>
                              <a:srgbClr val="84a2c6"/>
                            </a:solidFill>
                            <a:miter/>
                          </a:ln>
                        </wps:spPr>
                        <wps:style>
                          <a:lnRef idx="0"/>
                          <a:fillRef idx="0"/>
                          <a:effectRef idx="0"/>
                          <a:fontRef idx="minor"/>
                        </wps:style>
                        <wps:bodyPr/>
                      </wps:wsp>
                      <wps:wsp>
                        <wps:cNvPr id="4" name="Oval 1029"/>
                        <wps:cNvSpPr/>
                        <wps:spPr>
                          <a:xfrm>
                            <a:off x="5760" y="1800"/>
                            <a:ext cx="64080" cy="64080"/>
                          </a:xfrm>
                          <a:prstGeom prst="ellipse">
                            <a:avLst/>
                          </a:prstGeom>
                          <a:solidFill>
                            <a:srgbClr val="84a2c6"/>
                          </a:solidFill>
                          <a:ln w="0">
                            <a:noFill/>
                          </a:ln>
                        </wps:spPr>
                        <wps:style>
                          <a:lnRef idx="0"/>
                          <a:fillRef idx="0"/>
                          <a:effectRef idx="0"/>
                          <a:fontRef idx="minor"/>
                        </wps:style>
                        <wps:bodyPr/>
                      </wps:wsp>
                    </wpg:grpSp>
                  </wpg:wgp>
                </a:graphicData>
              </a:graphic>
            </wp:anchor>
          </w:drawing>
        </mc:Choice>
        <mc:Fallback>
          <w:pict>
            <v:group id="shape_0" alt="Grupo1" style="position:absolute;margin-left:235.9pt;margin-top:352.3pt;width:38.45pt;height:18.7pt" coordorigin="4718,7046" coordsize="769,374">
              <v:shapetype id="_x0000_t202" coordsize="21600,21600" o:spt="202" path="m,l,21600l21600,21600l21600,xe">
                <v:stroke joinstyle="miter"/>
                <v:path gradientshapeok="t" o:connecttype="rect"/>
              </v:shapetype>
              <v:shape id="shape_0" stroked="f" o:allowincell="f" style="position:absolute;left:4718;top:7054;width:768;height:359;mso-wrap-style:square;v-text-anchor:middle;mso-position-horizontal:center;mso-position-horizontal-relative:margin;mso-position-vertical-relative:page" type="_x0000_t202">
                <v:textbox>
                  <w:txbxContent>
                    <w:p>
                      <w:pPr>
                        <w:overflowPunct w:val="false"/>
                        <w:bidi w:val="0"/>
                        <w:spacing w:before="0" w:after="0" w:lineRule="auto" w:line="240"/>
                        <w:jc w:val="center"/>
                        <w:rPr/>
                      </w:pPr>
                      <w:r>
                        <w:rPr>
                          <w:kern w:val="2"/>
                          <w:sz w:val="16"/>
                          <w:b/>
                          <w:szCs w:val="16"/>
                          <w:bCs/>
                          <w:rFonts w:ascii="Calibri" w:hAnsi="Calibri" w:eastAsia="Calibri" w:cs="Basic Roman"/>
                          <w:color w:val="3F3151"/>
                          <w:lang w:val="en-US" w:bidi="ar-SA"/>
                        </w:rPr>
                        <w:fldChar w:fldCharType="begin"/>
                      </w:r>
                      <w:r>
                        <w:rPr>
                          <w:kern w:val="2"/>
                          <w:sz w:val="16"/>
                          <w:b/>
                          <w:szCs w:val="16"/>
                          <w:bCs/>
                          <w:rFonts w:ascii="Calibri" w:hAnsi="Calibri" w:eastAsia="Calibri" w:cs="Basic Roman"/>
                          <w:color w:val="3F3151"/>
                          <w:lang w:val="en-US" w:bidi="ar-SA"/>
                        </w:rPr>
                        <w:instrText xml:space="preserve"> PAGE </w:instrText>
                      </w:r>
                      <w:r>
                        <w:rPr>
                          <w:kern w:val="2"/>
                          <w:sz w:val="16"/>
                          <w:b/>
                          <w:szCs w:val="16"/>
                          <w:bCs/>
                          <w:rFonts w:ascii="Calibri" w:hAnsi="Calibri" w:eastAsia="Calibri" w:cs="Basic Roman"/>
                          <w:color w:val="3F3151"/>
                          <w:lang w:val="en-US" w:bidi="ar-SA"/>
                        </w:rPr>
                        <w:fldChar w:fldCharType="separate"/>
                      </w:r>
                      <w:r>
                        <w:rPr>
                          <w:kern w:val="2"/>
                          <w:sz w:val="16"/>
                          <w:b/>
                          <w:szCs w:val="16"/>
                          <w:bCs/>
                          <w:rFonts w:ascii="Calibri" w:hAnsi="Calibri" w:eastAsia="Calibri" w:cs="Basic Roman"/>
                          <w:color w:val="3F3151"/>
                          <w:lang w:val="en-US" w:bidi="ar-SA"/>
                        </w:rPr>
                        <w:t>1</w:t>
                      </w:r>
                      <w:r>
                        <w:rPr>
                          <w:kern w:val="2"/>
                          <w:sz w:val="16"/>
                          <w:b/>
                          <w:szCs w:val="16"/>
                          <w:bCs/>
                          <w:rFonts w:ascii="Calibri" w:hAnsi="Calibri" w:eastAsia="Calibri" w:cs="Basic Roman"/>
                          <w:color w:val="3F3151"/>
                          <w:lang w:val="en-US" w:bidi="ar-SA"/>
                        </w:rPr>
                        <w:fldChar w:fldCharType="end"/>
                      </w:r>
                    </w:p>
                  </w:txbxContent>
                </v:textbox>
                <v:fill o:detectmouseclick="t" on="false"/>
                <v:stroke color="#3465a4" joinstyle="round" endcap="flat"/>
                <w10:wrap type="none"/>
              </v:shape>
              <v:group id="shape_0" alt="Group 1027" style="position:absolute;left:4916;top:7046;width:374;height:374">
                <v:oval id="shape_0" ID="Oval 1028" stroked="t" o:allowincell="f" style="position:absolute;left:4916;top:7046;width:373;height:373;mso-wrap-style:none;v-text-anchor:middle;mso-position-horizontal:center;mso-position-horizontal-relative:margin;mso-position-vertical-relative:page">
                  <v:fill o:detectmouseclick="t" on="false"/>
                  <v:stroke color="#84a2c6" weight="6480" joinstyle="miter" endcap="flat"/>
                  <w10:wrap type="none"/>
                </v:oval>
                <v:oval id="shape_0" ID="Oval 1029" fillcolor="#84a2c6" stroked="f" o:allowincell="f" style="position:absolute;left:4925;top:7049;width:100;height:100;mso-wrap-style:none;v-text-anchor:middle;mso-position-horizontal:center;mso-position-horizontal-relative:margin;mso-position-vertical-relative:page">
                  <v:fill o:detectmouseclick="t" type="solid" color2="#7b5d39"/>
                  <v:stroke color="#3465a4" joinstyle="round" endcap="flat"/>
                  <w10:wrap type="none"/>
                </v:oval>
              </v:group>
            </v:group>
          </w:pict>
        </mc:Fallback>
      </mc:AlternateContent>
      <w:drawing>
        <wp:anchor behindDoc="1" distT="0" distB="0" distL="114935" distR="114935" simplePos="0" locked="0" layoutInCell="0" allowOverlap="1" relativeHeight="9">
          <wp:simplePos x="0" y="0"/>
          <wp:positionH relativeFrom="margin">
            <wp:align>center</wp:align>
          </wp:positionH>
          <wp:positionV relativeFrom="page">
            <wp:posOffset>259080</wp:posOffset>
          </wp:positionV>
          <wp:extent cx="6764655" cy="561975"/>
          <wp:effectExtent l="0" t="0" r="0" b="0"/>
          <wp:wrapNone/>
          <wp:docPr id="5" name="Imagem2"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agem2" descr="" title=""/>
                  <pic:cNvPicPr>
                    <a:picLocks noChangeAspect="1" noChangeArrowheads="1"/>
                  </pic:cNvPicPr>
                </pic:nvPicPr>
                <pic:blipFill>
                  <a:blip r:embed="rId1"/>
                  <a:srcRect l="-5" t="-64" r="-5" b="-64"/>
                  <a:stretch>
                    <a:fillRect/>
                  </a:stretch>
                </pic:blipFill>
                <pic:spPr bwMode="auto">
                  <a:xfrm>
                    <a:off x="0" y="0"/>
                    <a:ext cx="6764655" cy="561975"/>
                  </a:xfrm>
                  <a:prstGeom prst="rect">
                    <a:avLst/>
                  </a:prstGeom>
                </pic:spPr>
              </pic:pic>
            </a:graphicData>
          </a:graphic>
        </wp:anchor>
      </w:drawing>
    </w:r>
    <w:r>
      <w:rPr>
        <w:lang w:val="en-US"/>
      </w:rPr>
      <w:tab/>
    </w:r>
  </w:p>
</w:hd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numFmt w:val="bullet"/>
      <w:lvlText w:val=""/>
      <w:lvlJc w:val="start"/>
      <w:pPr>
        <w:tabs>
          <w:tab w:val="num" w:pos="0"/>
        </w:tabs>
        <w:ind w:start="360" w:hanging="0"/>
      </w:pPr>
      <w:rPr>
        <w:rFonts w:ascii="Symbol" w:hAnsi="Symbol" w:cs="Symbol" w:hint="default"/>
      </w:rPr>
    </w:lvl>
  </w:abstractNum>
  <w:abstractNum w:abstractNumId="2">
    <w:lvl w:ilvl="0">
      <w:start w:val="1"/>
      <w:numFmt w:val="bullet"/>
      <w:lvlText w:val=""/>
      <w:lvlJc w:val="start"/>
      <w:pPr>
        <w:tabs>
          <w:tab w:val="num" w:pos="0"/>
        </w:tabs>
        <w:ind w:start="720" w:hanging="360"/>
      </w:pPr>
      <w:rPr>
        <w:rFonts w:ascii="Symbol" w:hAnsi="Symbol" w:cs="Symbol" w:hint="default"/>
      </w:rPr>
    </w:lvl>
  </w:abstractNum>
  <w:abstractNum w:abstractNumId="3">
    <w:lvl w:ilvl="0">
      <w:start w:val="1"/>
      <w:numFmt w:val="none"/>
      <w:suff w:val="nothing"/>
      <w:lvlText w:val=""/>
      <w:lvlJc w:val="start"/>
      <w:pPr>
        <w:tabs>
          <w:tab w:val="num" w:pos="0"/>
        </w:tabs>
        <w:ind w:start="0" w:hanging="0"/>
      </w:pPr>
    </w:lvl>
    <w:lvl w:ilvl="1">
      <w:start w:val="1"/>
      <w:numFmt w:val="none"/>
      <w:suff w:val="nothing"/>
      <w:lvlText w:val=""/>
      <w:lvlJc w:val="start"/>
      <w:pPr>
        <w:tabs>
          <w:tab w:val="num" w:pos="0"/>
        </w:tabs>
        <w:ind w:start="0" w:hanging="0"/>
      </w:pPr>
    </w:lvl>
    <w:lvl w:ilvl="2">
      <w:start w:val="1"/>
      <w:numFmt w:val="none"/>
      <w:suff w:val="nothing"/>
      <w:lvlText w:val=""/>
      <w:lvlJc w:val="start"/>
      <w:pPr>
        <w:tabs>
          <w:tab w:val="num" w:pos="0"/>
        </w:tabs>
        <w:ind w:start="0" w:hanging="0"/>
      </w:pPr>
    </w:lvl>
    <w:lvl w:ilvl="3">
      <w:start w:val="1"/>
      <w:numFmt w:val="none"/>
      <w:suff w:val="nothing"/>
      <w:lvlText w:val=""/>
      <w:lvlJc w:val="start"/>
      <w:pPr>
        <w:tabs>
          <w:tab w:val="num" w:pos="0"/>
        </w:tabs>
        <w:ind w:start="0" w:hanging="0"/>
      </w:pPr>
    </w:lvl>
    <w:lvl w:ilvl="4">
      <w:start w:val="1"/>
      <w:numFmt w:val="none"/>
      <w:suff w:val="nothing"/>
      <w:lvlText w:val=""/>
      <w:lvlJc w:val="start"/>
      <w:pPr>
        <w:tabs>
          <w:tab w:val="num" w:pos="0"/>
        </w:tabs>
        <w:ind w:start="0" w:hanging="0"/>
      </w:pPr>
    </w:lvl>
    <w:lvl w:ilvl="5">
      <w:start w:val="1"/>
      <w:numFmt w:val="none"/>
      <w:suff w:val="nothing"/>
      <w:lvlText w:val=""/>
      <w:lvlJc w:val="start"/>
      <w:pPr>
        <w:tabs>
          <w:tab w:val="num" w:pos="0"/>
        </w:tabs>
        <w:ind w:start="0" w:hanging="0"/>
      </w:pPr>
    </w:lvl>
    <w:lvl w:ilvl="6">
      <w:start w:val="1"/>
      <w:numFmt w:val="none"/>
      <w:suff w:val="nothing"/>
      <w:lvlText w:val=""/>
      <w:lvlJc w:val="start"/>
      <w:pPr>
        <w:tabs>
          <w:tab w:val="num" w:pos="0"/>
        </w:tabs>
        <w:ind w:start="0" w:hanging="0"/>
      </w:pPr>
    </w:lvl>
    <w:lvl w:ilvl="7">
      <w:start w:val="1"/>
      <w:numFmt w:val="none"/>
      <w:suff w:val="nothing"/>
      <w:lvlText w:val=""/>
      <w:lvlJc w:val="start"/>
      <w:pPr>
        <w:tabs>
          <w:tab w:val="num" w:pos="0"/>
        </w:tabs>
        <w:ind w:start="0" w:hanging="0"/>
      </w:pPr>
    </w:lvl>
    <w:lvl w:ilvl="8">
      <w:start w:val="1"/>
      <w:numFmt w:val="none"/>
      <w:suff w:val="nothing"/>
      <w:lvlText w:val=""/>
      <w:lvlJc w:val="start"/>
      <w:pPr>
        <w:tabs>
          <w:tab w:val="num" w:pos="0"/>
        </w:tabs>
        <w:ind w:start="0" w:hanging="0"/>
      </w:pPr>
    </w:lvl>
  </w:abstractNum>
  <w:num w:numId="1">
    <w:abstractNumId w:val="1"/>
  </w:num>
  <w:num w:numId="2">
    <w:abstractNumId w:val="2"/>
  </w:num>
  <w:num w:numId="3">
    <w:abstractNumId w:val="3"/>
  </w:num>
</w:numbering>
</file>

<file path=word/settings.xml><?xml version="1.0" encoding="utf-8"?>
<w:settings xmlns:w="http://schemas.openxmlformats.org/wordprocessingml/2006/main">
  <w:zoom w:percent="100"/>
  <w:defaultTabStop w:val="709"/>
  <w:autoHyphenation w:val="true"/>
  <w:compat>
    <w:compatSetting w:name="compatibilityMode" w:uri="http://schemas.microsoft.com/office/word" w:val="1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FreeSans"/>
        <w:sz w:val="24"/>
        <w:szCs w:val="24"/>
        <w:lang w:val="en-US" w:eastAsia="zh-CN" w:bidi="hi-IN"/>
      </w:rPr>
    </w:rPrDefault>
    <w:pPrDefault>
      <w:pPr>
        <w:suppressAutoHyphens w:val="true"/>
      </w:pPr>
    </w:pPrDefault>
  </w:docDefaults>
  <w:style w:type="paragraph" w:styleId="Normal">
    <w:name w:val="Normal"/>
    <w:qFormat/>
    <w:pPr>
      <w:widowControl/>
      <w:bidi w:val="0"/>
      <w:spacing w:lineRule="auto" w:line="256" w:before="0" w:after="160"/>
    </w:pPr>
    <w:rPr>
      <w:rFonts w:ascii="Calibri" w:hAnsi="Calibri" w:eastAsia="Calibri" w:cs="Basic Roman"/>
      <w:color w:val="auto"/>
      <w:sz w:val="22"/>
      <w:szCs w:val="22"/>
      <w:lang w:val="el-GR" w:eastAsia="zh-CN" w:bidi="ar-SA"/>
    </w:rPr>
  </w:style>
  <w:style w:type="character" w:styleId="WW8Num3z0">
    <w:name w:val="WW8Num3z0"/>
    <w:qFormat/>
    <w:rPr>
      <w:rFonts w:ascii="Symbol" w:hAnsi="Symbol" w:cs="Symbol"/>
    </w:rPr>
  </w:style>
  <w:style w:type="character" w:styleId="WW8Num3z1">
    <w:name w:val="WW8Num3z1"/>
    <w:qFormat/>
    <w:rPr>
      <w:rFonts w:ascii="Courier New" w:hAnsi="Courier New" w:cs="Courier New"/>
    </w:rPr>
  </w:style>
  <w:style w:type="character" w:styleId="WW8Num3z2">
    <w:name w:val="WW8Num3z2"/>
    <w:qFormat/>
    <w:rPr>
      <w:rFonts w:ascii="Wingdings" w:hAnsi="Wingdings" w:cs="Wingdings"/>
    </w:rPr>
  </w:style>
  <w:style w:type="character" w:styleId="WW8Num4z0">
    <w:name w:val="WW8Num4z0"/>
    <w:qFormat/>
    <w:rPr>
      <w:rFonts w:ascii="Arial" w:hAnsi="Arial" w:eastAsia="Arial" w:cs="Arial"/>
    </w:rPr>
  </w:style>
  <w:style w:type="character" w:styleId="WW8Num4z1">
    <w:name w:val="WW8Num4z1"/>
    <w:qFormat/>
    <w:rPr>
      <w:rFonts w:ascii="Courier New" w:hAnsi="Courier New" w:cs="Courier New"/>
    </w:rPr>
  </w:style>
  <w:style w:type="character" w:styleId="WW8Num4z2">
    <w:name w:val="WW8Num4z2"/>
    <w:qFormat/>
    <w:rPr>
      <w:rFonts w:ascii="Wingdings" w:hAnsi="Wingdings" w:cs="Wingdings"/>
    </w:rPr>
  </w:style>
  <w:style w:type="character" w:styleId="WW8Num4z3">
    <w:name w:val="WW8Num4z3"/>
    <w:qFormat/>
    <w:rPr>
      <w:rFonts w:ascii="Symbol" w:hAnsi="Symbol" w:cs="Symbol"/>
    </w:rPr>
  </w:style>
  <w:style w:type="character" w:styleId="WW8Num5z0">
    <w:name w:val="WW8Num5z0"/>
    <w:qFormat/>
    <w:rPr>
      <w:rFonts w:ascii="Symbol" w:hAnsi="Symbol" w:cs="Symbol"/>
    </w:rPr>
  </w:style>
  <w:style w:type="character" w:styleId="WW8Num5z1">
    <w:name w:val="WW8Num5z1"/>
    <w:qFormat/>
    <w:rPr>
      <w:rFonts w:ascii="Courier New" w:hAnsi="Courier New" w:cs="Courier New"/>
    </w:rPr>
  </w:style>
  <w:style w:type="character" w:styleId="WW8Num5z2">
    <w:name w:val="WW8Num5z2"/>
    <w:qFormat/>
    <w:rPr>
      <w:rFonts w:ascii="Wingdings" w:hAnsi="Wingdings" w:cs="Wingdings"/>
    </w:rPr>
  </w:style>
  <w:style w:type="character" w:styleId="WW8Num7z0">
    <w:name w:val="WW8Num7z0"/>
    <w:qFormat/>
    <w:rPr>
      <w:rFonts w:ascii="Symbol" w:hAnsi="Symbol" w:cs="Symbol"/>
    </w:rPr>
  </w:style>
  <w:style w:type="character" w:styleId="WW8Num7z1">
    <w:name w:val="WW8Num7z1"/>
    <w:qFormat/>
    <w:rPr>
      <w:rFonts w:ascii="Courier New" w:hAnsi="Courier New" w:cs="Courier New"/>
    </w:rPr>
  </w:style>
  <w:style w:type="character" w:styleId="WW8Num7z2">
    <w:name w:val="WW8Num7z2"/>
    <w:qFormat/>
    <w:rPr>
      <w:rFonts w:ascii="Wingdings" w:hAnsi="Wingdings" w:cs="Wingdings"/>
    </w:rPr>
  </w:style>
  <w:style w:type="character" w:styleId="WW8Num8z0">
    <w:name w:val="WW8Num8z0"/>
    <w:qFormat/>
    <w:rPr>
      <w:rFonts w:ascii="Times New Roman" w:hAnsi="Times New Roman" w:cs="Times New Roman"/>
    </w:rPr>
  </w:style>
  <w:style w:type="character" w:styleId="WW8Num9z0">
    <w:name w:val="WW8Num9z0"/>
    <w:qFormat/>
    <w:rPr>
      <w:rFonts w:ascii="Symbol" w:hAnsi="Symbol" w:cs="Symbol"/>
    </w:rPr>
  </w:style>
  <w:style w:type="character" w:styleId="WW8Num9z1">
    <w:name w:val="WW8Num9z1"/>
    <w:qFormat/>
    <w:rPr>
      <w:rFonts w:ascii="Courier New" w:hAnsi="Courier New" w:cs="Courier New"/>
    </w:rPr>
  </w:style>
  <w:style w:type="character" w:styleId="WW8Num9z2">
    <w:name w:val="WW8Num9z2"/>
    <w:qFormat/>
    <w:rPr>
      <w:rFonts w:ascii="Wingdings" w:hAnsi="Wingdings" w:eastAsia="Wingdings" w:cs="Wingdings"/>
    </w:rPr>
  </w:style>
  <w:style w:type="character" w:styleId="WW8Num12z0">
    <w:name w:val="WW8Num12z0"/>
    <w:qFormat/>
    <w:rPr>
      <w:rFonts w:ascii="Symbol" w:hAnsi="Symbol" w:cs="Symbol"/>
    </w:rPr>
  </w:style>
  <w:style w:type="character" w:styleId="WW8Num12z1">
    <w:name w:val="WW8Num12z1"/>
    <w:qFormat/>
    <w:rPr>
      <w:rFonts w:ascii="Courier New" w:hAnsi="Courier New" w:cs="Courier New"/>
    </w:rPr>
  </w:style>
  <w:style w:type="character" w:styleId="WW8Num12z2">
    <w:name w:val="WW8Num12z2"/>
    <w:qFormat/>
    <w:rPr>
      <w:rFonts w:ascii="Wingdings" w:hAnsi="Wingdings" w:cs="Wingdings"/>
    </w:rPr>
  </w:style>
  <w:style w:type="character" w:styleId="WW8Num14z0">
    <w:name w:val="WW8Num14z0"/>
    <w:qFormat/>
    <w:rPr>
      <w:rFonts w:ascii="Symbol" w:hAnsi="Symbol" w:cs="Symbol"/>
    </w:rPr>
  </w:style>
  <w:style w:type="character" w:styleId="WW8Num14z1">
    <w:name w:val="WW8Num14z1"/>
    <w:qFormat/>
    <w:rPr>
      <w:rFonts w:ascii="Courier New" w:hAnsi="Courier New" w:cs="Courier New"/>
    </w:rPr>
  </w:style>
  <w:style w:type="character" w:styleId="WW8Num14z2">
    <w:name w:val="WW8Num14z2"/>
    <w:qFormat/>
    <w:rPr>
      <w:rFonts w:ascii="Wingdings" w:hAnsi="Wingdings" w:cs="Wingdings"/>
    </w:rPr>
  </w:style>
  <w:style w:type="character" w:styleId="WW8Num17z0">
    <w:name w:val="WW8Num17z0"/>
    <w:qFormat/>
    <w:rPr>
      <w:rFonts w:ascii="Symbol" w:hAnsi="Symbol" w:cs="Symbol"/>
    </w:rPr>
  </w:style>
  <w:style w:type="character" w:styleId="WW8Num17z1">
    <w:name w:val="WW8Num17z1"/>
    <w:qFormat/>
    <w:rPr>
      <w:rFonts w:ascii="Courier New" w:hAnsi="Courier New" w:cs="Courier New"/>
    </w:rPr>
  </w:style>
  <w:style w:type="character" w:styleId="WW8Num17z2">
    <w:name w:val="WW8Num17z2"/>
    <w:qFormat/>
    <w:rPr>
      <w:rFonts w:ascii="Wingdings" w:hAnsi="Wingdings" w:eastAsia="Wingdings" w:cs="Wingdings"/>
    </w:rPr>
  </w:style>
  <w:style w:type="character" w:styleId="WW8Num18z0">
    <w:name w:val="WW8Num18z0"/>
    <w:qFormat/>
    <w:rPr>
      <w:rFonts w:ascii="Symbol" w:hAnsi="Symbol" w:cs="Symbol"/>
    </w:rPr>
  </w:style>
  <w:style w:type="character" w:styleId="WW8Num18z1">
    <w:name w:val="WW8Num18z1"/>
    <w:qFormat/>
    <w:rPr>
      <w:rFonts w:ascii="Courier New" w:hAnsi="Courier New" w:cs="Courier New"/>
    </w:rPr>
  </w:style>
  <w:style w:type="character" w:styleId="WW8Num18z2">
    <w:name w:val="WW8Num18z2"/>
    <w:qFormat/>
    <w:rPr>
      <w:rFonts w:ascii="Wingdings" w:hAnsi="Wingdings" w:cs="Wingdings"/>
    </w:rPr>
  </w:style>
  <w:style w:type="character" w:styleId="WW8Num19z0">
    <w:name w:val="WW8Num19z0"/>
    <w:qFormat/>
    <w:rPr>
      <w:rFonts w:ascii="Wingdings" w:hAnsi="Wingdings" w:eastAsia="Wingdings" w:cs="Wingdings"/>
    </w:rPr>
  </w:style>
  <w:style w:type="character" w:styleId="WW8Num20z0">
    <w:name w:val="WW8Num20z0"/>
    <w:qFormat/>
    <w:rPr>
      <w:rFonts w:ascii="Symbol" w:hAnsi="Symbol" w:cs="Symbol"/>
    </w:rPr>
  </w:style>
  <w:style w:type="character" w:styleId="WW8Num20z1">
    <w:name w:val="WW8Num20z1"/>
    <w:qFormat/>
    <w:rPr>
      <w:rFonts w:ascii="Courier New" w:hAnsi="Courier New" w:cs="Courier New"/>
    </w:rPr>
  </w:style>
  <w:style w:type="character" w:styleId="WW8Num20z2">
    <w:name w:val="WW8Num20z2"/>
    <w:qFormat/>
    <w:rPr>
      <w:rFonts w:ascii="Wingdings" w:hAnsi="Wingdings" w:cs="Wingdings"/>
    </w:rPr>
  </w:style>
  <w:style w:type="character" w:styleId="WW8Num24z0">
    <w:name w:val="WW8Num24z0"/>
    <w:qFormat/>
    <w:rPr>
      <w:rFonts w:ascii="Symbol" w:hAnsi="Symbol" w:cs="Symbol"/>
    </w:rPr>
  </w:style>
  <w:style w:type="character" w:styleId="WW8Num24z1">
    <w:name w:val="WW8Num24z1"/>
    <w:qFormat/>
    <w:rPr>
      <w:rFonts w:ascii="Courier New" w:hAnsi="Courier New" w:cs="Courier New"/>
    </w:rPr>
  </w:style>
  <w:style w:type="character" w:styleId="WW8Num24z2">
    <w:name w:val="WW8Num24z2"/>
    <w:qFormat/>
    <w:rPr>
      <w:rFonts w:ascii="Wingdings" w:hAnsi="Wingdings" w:cs="Wingdings"/>
    </w:rPr>
  </w:style>
  <w:style w:type="character" w:styleId="WW8Num25z0">
    <w:name w:val="WW8Num25z0"/>
    <w:qFormat/>
    <w:rPr>
      <w:rFonts w:ascii="Wingdings" w:hAnsi="Wingdings" w:eastAsia="Wingdings" w:cs="Wingdings"/>
    </w:rPr>
  </w:style>
  <w:style w:type="character" w:styleId="DefaultParagraphFont">
    <w:name w:val="Default Paragraph Font"/>
    <w:qFormat/>
    <w:rPr/>
  </w:style>
  <w:style w:type="character" w:styleId="yiv8453339900">
    <w:name w:val="yiv8453339900"/>
    <w:basedOn w:val="DefaultParagraphFont"/>
    <w:qFormat/>
    <w:rPr/>
  </w:style>
  <w:style w:type="character" w:styleId="HeaderChar">
    <w:name w:val="Header Char"/>
    <w:basedOn w:val="DefaultParagraphFont"/>
    <w:qFormat/>
    <w:rPr/>
  </w:style>
  <w:style w:type="character" w:styleId="FooterChar">
    <w:name w:val="Footer Char"/>
    <w:basedOn w:val="DefaultParagraphFont"/>
    <w:qFormat/>
    <w:rPr/>
  </w:style>
  <w:style w:type="character" w:styleId="BalloonTextChar">
    <w:name w:val="Balloon Text Char"/>
    <w:qFormat/>
    <w:rPr>
      <w:rFonts w:ascii="Tahoma" w:hAnsi="Tahoma" w:cs="Tahoma"/>
      <w:sz w:val="16"/>
      <w:szCs w:val="16"/>
    </w:rPr>
  </w:style>
  <w:style w:type="character" w:styleId="Hyperlink">
    <w:name w:val="Hyperlink"/>
    <w:rPr>
      <w:color w:val="0000FF"/>
      <w:u w:val="single"/>
    </w:rPr>
  </w:style>
  <w:style w:type="character" w:styleId="RodapCarter">
    <w:name w:val="Rodapé Caráter"/>
    <w:basedOn w:val="DefaultParagraphFont"/>
    <w:qFormat/>
    <w:rPr/>
  </w:style>
  <w:style w:type="character" w:styleId="CabealhoCarter">
    <w:name w:val="Cabeçalho Caráter"/>
    <w:basedOn w:val="DefaultParagraphFont"/>
    <w:qFormat/>
    <w:rPr/>
  </w:style>
  <w:style w:type="character" w:styleId="PageNumber">
    <w:name w:val="Page Number"/>
    <w:basedOn w:val="DefaultParagraphFont"/>
    <w:rPr/>
  </w:style>
  <w:style w:type="character" w:styleId="FollowedHyperlink">
    <w:name w:val="FollowedHyperlink"/>
    <w:rPr>
      <w:color w:val="800080"/>
      <w:u w:val="single"/>
    </w:rPr>
  </w:style>
  <w:style w:type="character" w:styleId="apple-converted-space">
    <w:name w:val="apple-converted-space"/>
    <w:basedOn w:val="DefaultParagraphFont"/>
    <w:qFormat/>
    <w:rPr/>
  </w:style>
  <w:style w:type="character" w:styleId="UnresolvedMention1">
    <w:name w:val="Unresolved Mention1"/>
    <w:qFormat/>
    <w:rPr>
      <w:color w:val="605E5C"/>
      <w:shd w:fill="E1DFDD" w:val="clear"/>
    </w:rPr>
  </w:style>
  <w:style w:type="paragraph" w:styleId="Heading">
    <w:name w:val="Heading"/>
    <w:basedOn w:val="Normal"/>
    <w:next w:val="BodyText"/>
    <w:qFormat/>
    <w:pPr>
      <w:keepNext w:val="true"/>
      <w:spacing w:before="240" w:after="120"/>
    </w:pPr>
    <w:rPr>
      <w:rFonts w:ascii="Liberation Sans" w:hAnsi="Liberation Sans" w:eastAsia="Noto Sans CJK SC" w:cs="FreeSans"/>
      <w:sz w:val="28"/>
      <w:szCs w:val="28"/>
    </w:rPr>
  </w:style>
  <w:style w:type="paragraph" w:styleId="BodyText">
    <w:name w:val="Body Text"/>
    <w:basedOn w:val="Normal"/>
    <w:pPr>
      <w:spacing w:lineRule="exact" w:line="352" w:before="0" w:after="120"/>
      <w:jc w:val="both"/>
    </w:pPr>
    <w:rPr>
      <w:rFonts w:ascii="Century Gothic" w:hAnsi="Century Gothic" w:eastAsia="Lucida Sans Unicode" w:cs="Tahoma"/>
      <w:szCs w:val="24"/>
      <w:lang w:val="pt-PT"/>
    </w:rPr>
  </w:style>
  <w:style w:type="paragraph" w:styleId="List">
    <w:name w:val="List"/>
    <w:basedOn w:val="BodyText"/>
    <w:pPr/>
    <w:rPr>
      <w:rFonts w:cs="FreeSans"/>
    </w:rPr>
  </w:style>
  <w:style w:type="paragraph" w:styleId="Caption">
    <w:name w:val="Caption"/>
    <w:basedOn w:val="Normal"/>
    <w:next w:val="Normal"/>
    <w:qFormat/>
    <w:pPr>
      <w:spacing w:lineRule="auto" w:line="240"/>
    </w:pPr>
    <w:rPr>
      <w:b/>
      <w:bCs/>
      <w:sz w:val="20"/>
      <w:szCs w:val="20"/>
    </w:rPr>
  </w:style>
  <w:style w:type="paragraph" w:styleId="Index">
    <w:name w:val="Index"/>
    <w:basedOn w:val="Normal"/>
    <w:qFormat/>
    <w:pPr>
      <w:suppressLineNumbers/>
    </w:pPr>
    <w:rPr>
      <w:rFonts w:cs="FreeSans"/>
    </w:rPr>
  </w:style>
  <w:style w:type="paragraph" w:styleId="yiv8453339900msonormal">
    <w:name w:val="yiv8453339900msonormal"/>
    <w:basedOn w:val="Normal"/>
    <w:qFormat/>
    <w:pPr>
      <w:spacing w:lineRule="auto" w:line="240" w:before="280" w:after="280"/>
    </w:pPr>
    <w:rPr>
      <w:rFonts w:ascii="Times New Roman" w:hAnsi="Times New Roman" w:cs="Times New Roman"/>
      <w:sz w:val="20"/>
      <w:szCs w:val="20"/>
      <w:lang w:val="en-US"/>
    </w:rPr>
  </w:style>
  <w:style w:type="paragraph" w:styleId="HeaderandFooter">
    <w:name w:val="Header and Footer"/>
    <w:basedOn w:val="Normal"/>
    <w:qFormat/>
    <w:pPr>
      <w:suppressLineNumbers/>
      <w:tabs>
        <w:tab w:val="clear" w:pos="720"/>
        <w:tab w:val="center" w:pos="4819" w:leader="none"/>
        <w:tab w:val="right" w:pos="9638" w:leader="none"/>
      </w:tabs>
    </w:pPr>
    <w:rPr/>
  </w:style>
  <w:style w:type="paragraph" w:styleId="Header">
    <w:name w:val="Header"/>
    <w:basedOn w:val="Normal"/>
    <w:pPr>
      <w:spacing w:lineRule="auto" w:line="240" w:before="0" w:after="0"/>
    </w:pPr>
    <w:rPr/>
  </w:style>
  <w:style w:type="paragraph" w:styleId="Footer">
    <w:name w:val="Footer"/>
    <w:basedOn w:val="Normal"/>
    <w:pPr>
      <w:spacing w:lineRule="auto" w:line="240" w:before="0" w:after="0"/>
    </w:pPr>
    <w:rPr/>
  </w:style>
  <w:style w:type="paragraph" w:styleId="ListParagraph">
    <w:name w:val="List Paragraph"/>
    <w:basedOn w:val="Normal"/>
    <w:qFormat/>
    <w:pPr>
      <w:spacing w:before="0" w:after="160"/>
      <w:ind w:hanging="0" w:start="720" w:end="0"/>
      <w:contextualSpacing/>
    </w:pPr>
    <w:rPr/>
  </w:style>
  <w:style w:type="paragraph" w:styleId="BalloonText">
    <w:name w:val="Balloon Text"/>
    <w:basedOn w:val="Normal"/>
    <w:qFormat/>
    <w:pPr>
      <w:spacing w:lineRule="auto" w:line="240" w:before="0" w:after="0"/>
    </w:pPr>
    <w:rPr>
      <w:rFonts w:ascii="Tahoma" w:hAnsi="Tahoma" w:cs="Tahoma"/>
      <w:sz w:val="16"/>
      <w:szCs w:val="16"/>
    </w:rPr>
  </w:style>
  <w:style w:type="paragraph" w:styleId="Contedodatabela">
    <w:name w:val="Conteúdo da tabela"/>
    <w:basedOn w:val="BodyText"/>
    <w:qFormat/>
    <w:pPr>
      <w:suppressLineNumbers/>
    </w:pPr>
    <w:rPr/>
  </w:style>
  <w:style w:type="paragraph" w:styleId="NormalWeb">
    <w:name w:val="Normal (Web)"/>
    <w:basedOn w:val="Normal"/>
    <w:qFormat/>
    <w:pPr>
      <w:spacing w:lineRule="auto" w:line="240" w:before="280" w:after="280"/>
    </w:pPr>
    <w:rPr>
      <w:rFonts w:ascii="Times New Roman" w:hAnsi="Times New Roman" w:cs="Times New Roman"/>
      <w:sz w:val="24"/>
      <w:szCs w:val="24"/>
      <w:lang w:val="en-US"/>
    </w:rPr>
  </w:style>
  <w:style w:type="paragraph" w:styleId="Normal1">
    <w:name w:val="Normal1"/>
    <w:qFormat/>
    <w:pPr>
      <w:widowControl/>
      <w:bidi w:val="0"/>
      <w:spacing w:lineRule="auto" w:line="256" w:before="0" w:after="160"/>
    </w:pPr>
    <w:rPr>
      <w:rFonts w:ascii="Calibri" w:hAnsi="Calibri" w:eastAsia="Calibri" w:cs="Calibri"/>
      <w:color w:val="auto"/>
      <w:sz w:val="22"/>
      <w:szCs w:val="22"/>
      <w:lang w:val="el-GR" w:bidi="ar-SA" w:eastAsia="zh-CN"/>
    </w:rPr>
  </w:style>
  <w:style w:type="paragraph" w:styleId="FrameContents">
    <w:name w:val="Frame Contents"/>
    <w:basedOn w:val="Normal"/>
    <w:qFormat/>
    <w:pPr/>
    <w:rPr/>
  </w:style>
  <w:style w:type="numbering" w:styleId="WW8Num1">
    <w:name w:val="WW8Num1"/>
    <w:qFormat/>
  </w:style>
  <w:style w:type="numbering" w:styleId="WW8Num2">
    <w:name w:val="WW8Num2"/>
    <w:qFormat/>
  </w:style>
  <w:style w:type="numbering" w:styleId="WW8Num3">
    <w:name w:val="WW8Num3"/>
    <w:qFormat/>
  </w:style>
  <w:style w:type="numbering" w:styleId="WW8Num4">
    <w:name w:val="WW8Num4"/>
    <w:qFormat/>
  </w:style>
  <w:style w:type="numbering" w:styleId="WW8Num5">
    <w:name w:val="WW8Num5"/>
    <w:qFormat/>
  </w:style>
  <w:style w:type="numbering" w:styleId="WW8Num6">
    <w:name w:val="WW8Num6"/>
    <w:qFormat/>
  </w:style>
  <w:style w:type="numbering" w:styleId="WW8Num7">
    <w:name w:val="WW8Num7"/>
    <w:qFormat/>
  </w:style>
  <w:style w:type="numbering" w:styleId="WW8Num8">
    <w:name w:val="WW8Num8"/>
    <w:qFormat/>
  </w:style>
  <w:style w:type="numbering" w:styleId="WW8Num9">
    <w:name w:val="WW8Num9"/>
    <w:qFormat/>
  </w:style>
  <w:style w:type="numbering" w:styleId="WW8Num10">
    <w:name w:val="WW8Num10"/>
    <w:qFormat/>
  </w:style>
  <w:style w:type="numbering" w:styleId="WW8Num11">
    <w:name w:val="WW8Num11"/>
    <w:qFormat/>
  </w:style>
  <w:style w:type="numbering" w:styleId="WW8Num12">
    <w:name w:val="WW8Num12"/>
    <w:qFormat/>
  </w:style>
  <w:style w:type="numbering" w:styleId="WW8Num13">
    <w:name w:val="WW8Num13"/>
    <w:qFormat/>
  </w:style>
  <w:style w:type="numbering" w:styleId="WW8Num14">
    <w:name w:val="WW8Num14"/>
    <w:qFormat/>
  </w:style>
  <w:style w:type="numbering" w:styleId="WW8Num15">
    <w:name w:val="WW8Num15"/>
    <w:qFormat/>
  </w:style>
  <w:style w:type="numbering" w:styleId="WW8Num16">
    <w:name w:val="WW8Num16"/>
    <w:qFormat/>
  </w:style>
  <w:style w:type="numbering" w:styleId="WW8Num17">
    <w:name w:val="WW8Num17"/>
    <w:qFormat/>
  </w:style>
  <w:style w:type="numbering" w:styleId="WW8Num18">
    <w:name w:val="WW8Num18"/>
    <w:qFormat/>
  </w:style>
  <w:style w:type="numbering" w:styleId="WW8Num19">
    <w:name w:val="WW8Num19"/>
    <w:qFormat/>
  </w:style>
  <w:style w:type="numbering" w:styleId="WW8Num20">
    <w:name w:val="WW8Num20"/>
    <w:qFormat/>
  </w:style>
  <w:style w:type="numbering" w:styleId="WW8Num21">
    <w:name w:val="WW8Num21"/>
    <w:qFormat/>
  </w:style>
  <w:style w:type="numbering" w:styleId="WW8Num22">
    <w:name w:val="WW8Num22"/>
    <w:qFormat/>
  </w:style>
  <w:style w:type="numbering" w:styleId="WW8Num23">
    <w:name w:val="WW8Num23"/>
    <w:qFormat/>
  </w:style>
  <w:style w:type="numbering" w:styleId="WW8Num24">
    <w:name w:val="WW8Num24"/>
    <w:qFormat/>
  </w:style>
  <w:style w:type="numbering" w:styleId="WW8Num25">
    <w:name w:val="WW8Num25"/>
    <w:qFormat/>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yperlink" Target="http://www.citizenship-and-mathematics.eu/" TargetMode="External"/><Relationship Id="rId3" Type="http://schemas.openxmlformats.org/officeDocument/2006/relationships/hyperlink" Target="https://www.etwinning.net/" TargetMode="External"/><Relationship Id="rId4" Type="http://schemas.openxmlformats.org/officeDocument/2006/relationships/hyperlink" Target="https://www.etwinning.net/en/pub/projects.htm" TargetMode="External"/><Relationship Id="rId5" Type="http://schemas.openxmlformats.org/officeDocument/2006/relationships/hyperlink" Target="https://doi.org/10.1007/978-981-287-537-2_11" TargetMode="External"/><Relationship Id="rId6" Type="http://schemas.openxmlformats.org/officeDocument/2006/relationships/hyperlink" Target="https://files.eric.ed.gov/fulltext/EJ1139836.pdf" TargetMode="External"/><Relationship Id="rId7" Type="http://schemas.openxmlformats.org/officeDocument/2006/relationships/hyperlink" Target="https://www.ceeol.com/search/article-detail?id=523330" TargetMode="External"/><Relationship Id="rId8" Type="http://schemas.openxmlformats.org/officeDocument/2006/relationships/hyperlink" Target="https://doi.org/10.1504/IJTCS.2018.090962" TargetMode="External"/><Relationship Id="rId9" Type="http://schemas.openxmlformats.org/officeDocument/2006/relationships/hyperlink" Target="https://doi.org/10.3390/educsci8010001" TargetMode="External"/><Relationship Id="rId10" Type="http://schemas.openxmlformats.org/officeDocument/2006/relationships/header" Target="header1.xml"/><Relationship Id="rId11" Type="http://schemas.openxmlformats.org/officeDocument/2006/relationships/footer" Target="footer1.xml"/><Relationship Id="rId12" Type="http://schemas.openxmlformats.org/officeDocument/2006/relationships/numbering" Target="numbering.xml"/><Relationship Id="rId13" Type="http://schemas.openxmlformats.org/officeDocument/2006/relationships/fontTable" Target="fontTable.xml"/><Relationship Id="rId14" Type="http://schemas.openxmlformats.org/officeDocument/2006/relationships/settings" Target="settings.xml"/><Relationship Id="rId15" Type="http://schemas.openxmlformats.org/officeDocument/2006/relationships/theme" Target="theme/theme1.xml"/>
</Relationships>
</file>

<file path=word/_rels/footer1.xml.rels><?xml version="1.0" encoding="UTF-8"?>
<Relationships xmlns="http://schemas.openxmlformats.org/package/2006/relationships"><Relationship Id="rId1" Type="http://schemas.openxmlformats.org/officeDocument/2006/relationships/image" Target="media/image2.jpeg"/>
</Relationships>
</file>

<file path=word/_rels/header1.xml.rels><?xml version="1.0" encoding="UTF-8"?>
<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Normal</Template>
  <TotalTime>0</TotalTime>
  <Application>LibreOffice/24.2.7.2$Linux_X86_64 LibreOffice_project/420$Build-2</Application>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2019-08-30T19:05:00Z</dcterms:created>
  <dc:creator>masteruser</dc:creator>
  <dc:description/>
  <dc:language>en-US</dc:language>
  <cp:lastModifiedBy>Gill Adams</cp:lastModifiedBy>
  <cp:lastPrinted>2018-05-18T14:02:00Z</cp:lastPrinted>
  <dcterms:modified xsi:type="dcterms:W3CDTF">2019-08-30T19:05:00Z</dcterms:modified>
  <cp:revision>2</cp:revision>
  <dc:subject/>
  <dc:title/>
</cp:coreProperties>
</file>